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579" w:lineRule="exact"/>
        <w:jc w:val="left"/>
        <w:textAlignment w:val="baseline"/>
        <w:rPr>
          <w:rFonts w:ascii="方正小标宋简体" w:eastAsia="方正小标宋简体"/>
          <w:b w:val="0"/>
          <w:i w:val="0"/>
          <w:caps w:val="0"/>
          <w:spacing w:val="0"/>
          <w:w w:val="100"/>
          <w:sz w:val="32"/>
          <w:szCs w:val="32"/>
        </w:rPr>
      </w:pPr>
    </w:p>
    <w:p>
      <w:pPr>
        <w:spacing w:line="579" w:lineRule="exact"/>
        <w:jc w:val="lef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附件2</w:t>
      </w:r>
    </w:p>
    <w:p>
      <w:pPr>
        <w:pStyle w:val="6"/>
        <w:widowControl/>
        <w:spacing w:beforeAutospacing="0" w:afterAutospacing="0" w:line="579" w:lineRule="exact"/>
        <w:jc w:val="center"/>
        <w:rPr>
          <w:rFonts w:ascii="方正小标宋简体" w:eastAsia="方正小标宋简体"/>
          <w:sz w:val="36"/>
          <w:szCs w:val="36"/>
        </w:rPr>
      </w:pPr>
      <w:r>
        <w:rPr>
          <w:rFonts w:hint="eastAsia" w:ascii="方正小标宋简体" w:eastAsia="方正小标宋简体"/>
          <w:sz w:val="36"/>
          <w:szCs w:val="36"/>
        </w:rPr>
        <w:t>成都市第五人民医院</w:t>
      </w:r>
    </w:p>
    <w:p>
      <w:pPr>
        <w:pStyle w:val="6"/>
        <w:widowControl/>
        <w:spacing w:beforeAutospacing="0" w:afterAutospacing="0" w:line="640" w:lineRule="exact"/>
        <w:jc w:val="center"/>
        <w:rPr>
          <w:rFonts w:ascii="方正小标宋简体" w:eastAsia="方正小标宋简体"/>
          <w:sz w:val="36"/>
          <w:szCs w:val="36"/>
        </w:rPr>
      </w:pPr>
      <w:r>
        <w:rPr>
          <w:rFonts w:hint="eastAsia" w:ascii="方正小标宋简体" w:eastAsia="方正小标宋简体"/>
          <w:sz w:val="36"/>
          <w:szCs w:val="36"/>
        </w:rPr>
        <w:t>与美国高水平医院拟合作项目清单</w:t>
      </w:r>
    </w:p>
    <w:tbl>
      <w:tblPr>
        <w:tblStyle w:val="7"/>
        <w:tblW w:w="9548" w:type="dxa"/>
        <w:jc w:val="center"/>
        <w:tblLayout w:type="fixed"/>
        <w:tblCellMar>
          <w:top w:w="0" w:type="dxa"/>
          <w:left w:w="108" w:type="dxa"/>
          <w:bottom w:w="0" w:type="dxa"/>
          <w:right w:w="108" w:type="dxa"/>
        </w:tblCellMar>
      </w:tblPr>
      <w:tblGrid>
        <w:gridCol w:w="556"/>
        <w:gridCol w:w="697"/>
        <w:gridCol w:w="731"/>
        <w:gridCol w:w="1196"/>
        <w:gridCol w:w="1406"/>
        <w:gridCol w:w="1168"/>
        <w:gridCol w:w="636"/>
        <w:gridCol w:w="3158"/>
      </w:tblGrid>
      <w:tr>
        <w:tblPrEx>
          <w:tblCellMar>
            <w:top w:w="0" w:type="dxa"/>
            <w:left w:w="108" w:type="dxa"/>
            <w:bottom w:w="0" w:type="dxa"/>
            <w:right w:w="108" w:type="dxa"/>
          </w:tblCellMar>
        </w:tblPrEx>
        <w:trPr>
          <w:trHeight w:val="290"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编号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项目</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明细</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left"/>
              <w:textAlignment w:val="bottom"/>
              <w:rPr>
                <w:rFonts w:ascii="仿宋" w:hAnsi="仿宋" w:eastAsia="仿宋" w:cs="仿宋"/>
                <w:color w:val="000000"/>
                <w:szCs w:val="21"/>
              </w:rPr>
            </w:pPr>
            <w:r>
              <w:rPr>
                <w:rFonts w:hint="eastAsia" w:ascii="仿宋" w:hAnsi="仿宋" w:eastAsia="仿宋" w:cs="仿宋"/>
                <w:color w:val="000000"/>
                <w:kern w:val="0"/>
                <w:szCs w:val="21"/>
              </w:rPr>
              <w:t>合作项目</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left"/>
              <w:textAlignment w:val="bottom"/>
              <w:rPr>
                <w:rFonts w:ascii="仿宋" w:hAnsi="仿宋" w:eastAsia="仿宋" w:cs="仿宋"/>
                <w:color w:val="000000"/>
                <w:szCs w:val="21"/>
              </w:rPr>
            </w:pPr>
            <w:r>
              <w:rPr>
                <w:rFonts w:hint="eastAsia" w:ascii="仿宋" w:hAnsi="仿宋" w:eastAsia="仿宋" w:cs="仿宋"/>
                <w:color w:val="000000"/>
                <w:kern w:val="0"/>
                <w:szCs w:val="21"/>
              </w:rPr>
              <w:t>标准</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规格</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市场调研</w:t>
            </w:r>
          </w:p>
        </w:tc>
        <w:tc>
          <w:tcPr>
            <w:tcW w:w="3158" w:type="dxa"/>
            <w:tcBorders>
              <w:top w:val="single" w:color="000000" w:sz="4" w:space="0"/>
              <w:left w:val="single" w:color="000000" w:sz="4" w:space="0"/>
              <w:bottom w:val="single" w:color="000000" w:sz="4" w:space="0"/>
              <w:right w:val="single" w:color="000000" w:sz="4" w:space="0"/>
            </w:tcBorders>
            <w:shd w:val="clear" w:color="auto" w:fill="auto"/>
            <w:vAlign w:val="bottom"/>
          </w:tcPr>
          <w:p>
            <w:pPr>
              <w:widowControl/>
              <w:spacing w:line="240" w:lineRule="exact"/>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备注</w:t>
            </w:r>
          </w:p>
        </w:tc>
      </w:tr>
      <w:tr>
        <w:tblPrEx>
          <w:tblCellMar>
            <w:top w:w="0" w:type="dxa"/>
            <w:left w:w="108" w:type="dxa"/>
            <w:bottom w:w="0" w:type="dxa"/>
            <w:right w:w="108" w:type="dxa"/>
          </w:tblCellMar>
        </w:tblPrEx>
        <w:trPr>
          <w:trHeight w:val="709"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外聘客座教授及团队学术交流</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肺癌诊疗及研究</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在线视频会议</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2小时/次左右</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ascii="Arial" w:hAnsi="Arial" w:eastAsia="宋体" w:cs="Arial"/>
                <w:color w:val="000000"/>
                <w:kern w:val="0"/>
                <w:szCs w:val="21"/>
              </w:rPr>
              <w:t>≥</w:t>
            </w:r>
            <w:r>
              <w:rPr>
                <w:rFonts w:hint="eastAsia" w:ascii="仿宋" w:hAnsi="仿宋" w:eastAsia="仿宋" w:cs="仿宋"/>
                <w:color w:val="000000"/>
                <w:kern w:val="0"/>
                <w:szCs w:val="21"/>
              </w:rPr>
              <w:t>12次/年</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1.外聘客座教授及团队应深入思考我院的学科发展要求，输出美国在肺癌及消化道肿瘤诊疗与研究两个方向上的先进技术及管理模式经验，提供项目操作手册或视频，帮助我院提高建设效率；2.通过组织由美国专科界学术地位高的讲者进行在现视频会议及制作世界领先医疗技术及模式视频，提供医疗进展前沿知识及咨询；指导肿瘤学科新技术新模式新项目开展，在学科管理和临床专业技术方面开展合作，培养专科人才；3.日常工作通过邮件等形式随时联系（节假日除外）；.推动与国内国际在肺癌及消化道肿瘤的防治做交流与合作; 4.科研合作，开展国际合作的研究，促进成果产出及转化5.推荐或引进美国其他专家指导我院相关学科的工作；6. 推进双方医院的深入合作。</w:t>
            </w:r>
          </w:p>
        </w:tc>
      </w:tr>
      <w:tr>
        <w:tblPrEx>
          <w:tblCellMar>
            <w:top w:w="0" w:type="dxa"/>
            <w:left w:w="108" w:type="dxa"/>
            <w:bottom w:w="0" w:type="dxa"/>
            <w:right w:w="108" w:type="dxa"/>
          </w:tblCellMar>
        </w:tblPrEx>
        <w:trPr>
          <w:trHeight w:val="440"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学术视频版权引进</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世界领先医疗技术及模式视频</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Arial" w:hAnsi="Arial" w:eastAsia="宋体" w:cs="Arial"/>
                <w:color w:val="000000"/>
                <w:szCs w:val="21"/>
              </w:rPr>
            </w:pPr>
            <w:r>
              <w:rPr>
                <w:rFonts w:ascii="Arial" w:hAnsi="Arial" w:eastAsia="宋体" w:cs="Arial"/>
                <w:color w:val="000000"/>
                <w:kern w:val="0"/>
                <w:szCs w:val="21"/>
              </w:rPr>
              <w:t>≥</w:t>
            </w:r>
            <w:r>
              <w:rPr>
                <w:rStyle w:val="9"/>
                <w:rFonts w:hint="default"/>
              </w:rPr>
              <w:t>1小时/</w:t>
            </w:r>
            <w:r>
              <w:rPr>
                <w:rFonts w:ascii="Arial" w:hAnsi="Arial" w:eastAsia="宋体" w:cs="Arial"/>
                <w:color w:val="000000"/>
                <w:szCs w:val="21"/>
              </w:rPr>
              <w:t xml:space="preserve"> </w:t>
            </w:r>
            <w:r>
              <w:rPr>
                <w:rFonts w:hint="eastAsia" w:ascii="Arial" w:hAnsi="Arial" w:eastAsia="宋体" w:cs="Arial"/>
                <w:color w:val="000000"/>
                <w:szCs w:val="21"/>
              </w:rPr>
              <w:t>部</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Arial" w:hAnsi="Arial" w:eastAsia="宋体" w:cs="Arial"/>
                <w:color w:val="000000"/>
                <w:szCs w:val="21"/>
              </w:rPr>
            </w:pPr>
          </w:p>
        </w:tc>
        <w:tc>
          <w:tcPr>
            <w:tcW w:w="31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456"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来院工作</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工作、签证、机票、住宿、生活及管理等</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Arial" w:hAnsi="Arial" w:eastAsia="宋体" w:cs="Arial"/>
                <w:color w:val="000000"/>
                <w:szCs w:val="21"/>
              </w:rPr>
            </w:pPr>
            <w:r>
              <w:rPr>
                <w:rFonts w:ascii="Arial" w:hAnsi="Arial" w:eastAsia="宋体" w:cs="Arial"/>
                <w:color w:val="000000"/>
                <w:kern w:val="0"/>
                <w:szCs w:val="21"/>
              </w:rPr>
              <w:t>≥1</w:t>
            </w:r>
            <w:r>
              <w:rPr>
                <w:rStyle w:val="11"/>
                <w:rFonts w:hint="default"/>
              </w:rPr>
              <w:t>周</w:t>
            </w:r>
            <w:r>
              <w:rPr>
                <w:rStyle w:val="10"/>
                <w:rFonts w:eastAsia="宋体"/>
              </w:rPr>
              <w:t>/</w:t>
            </w:r>
            <w:r>
              <w:rPr>
                <w:rStyle w:val="11"/>
                <w:rFonts w:hint="default"/>
              </w:rPr>
              <w:t>次</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Arial" w:hAnsi="Arial" w:eastAsia="宋体" w:cs="Arial"/>
                <w:color w:val="000000"/>
                <w:szCs w:val="21"/>
              </w:rPr>
            </w:pPr>
          </w:p>
        </w:tc>
        <w:tc>
          <w:tcPr>
            <w:tcW w:w="31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797"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消化道肿瘤</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在线视频会议</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2小时/次左右</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ascii="Arial" w:hAnsi="Arial" w:eastAsia="宋体" w:cs="Arial"/>
                <w:color w:val="000000"/>
                <w:kern w:val="0"/>
                <w:szCs w:val="21"/>
              </w:rPr>
              <w:t>≥</w:t>
            </w:r>
            <w:r>
              <w:rPr>
                <w:rFonts w:hint="eastAsia" w:ascii="仿宋" w:hAnsi="仿宋" w:eastAsia="仿宋" w:cs="仿宋"/>
                <w:color w:val="000000"/>
                <w:kern w:val="0"/>
                <w:szCs w:val="21"/>
              </w:rPr>
              <w:t>12次/年</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821"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学术视频版权引进</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世界领先医疗技术及模式教学视频</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Arial" w:hAnsi="Arial" w:eastAsia="宋体" w:cs="Arial"/>
                <w:color w:val="000000"/>
                <w:szCs w:val="21"/>
              </w:rPr>
            </w:pPr>
            <w:r>
              <w:rPr>
                <w:rFonts w:ascii="Arial" w:hAnsi="Arial" w:eastAsia="宋体" w:cs="Arial"/>
                <w:color w:val="000000"/>
                <w:kern w:val="0"/>
                <w:szCs w:val="21"/>
              </w:rPr>
              <w:t>≥</w:t>
            </w:r>
            <w:r>
              <w:rPr>
                <w:rStyle w:val="9"/>
                <w:rFonts w:hint="default"/>
              </w:rPr>
              <w:t>1小时/</w:t>
            </w:r>
            <w:r>
              <w:rPr>
                <w:rFonts w:ascii="Arial" w:hAnsi="Arial" w:eastAsia="宋体" w:cs="Arial"/>
                <w:color w:val="000000"/>
                <w:szCs w:val="21"/>
              </w:rPr>
              <w:t xml:space="preserve"> </w:t>
            </w:r>
            <w:r>
              <w:rPr>
                <w:rFonts w:hint="eastAsia" w:ascii="Arial" w:hAnsi="Arial" w:eastAsia="宋体" w:cs="Arial"/>
                <w:color w:val="000000"/>
                <w:szCs w:val="21"/>
              </w:rPr>
              <w:t>部</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Arial" w:hAnsi="Arial" w:eastAsia="宋体" w:cs="Arial"/>
                <w:color w:val="000000"/>
                <w:szCs w:val="21"/>
              </w:rPr>
            </w:pPr>
          </w:p>
        </w:tc>
        <w:tc>
          <w:tcPr>
            <w:tcW w:w="31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1173"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6</w:t>
            </w: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来院工作</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工作、签证、机票、住宿、生活及管理等</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Arial" w:hAnsi="Arial" w:eastAsia="宋体" w:cs="Arial"/>
                <w:color w:val="000000"/>
                <w:szCs w:val="21"/>
              </w:rPr>
            </w:pPr>
            <w:r>
              <w:rPr>
                <w:rFonts w:ascii="Arial" w:hAnsi="Arial" w:eastAsia="宋体" w:cs="Arial"/>
                <w:color w:val="000000"/>
                <w:kern w:val="0"/>
                <w:szCs w:val="21"/>
              </w:rPr>
              <w:t>≥1</w:t>
            </w:r>
            <w:r>
              <w:rPr>
                <w:rStyle w:val="11"/>
                <w:rFonts w:hint="default"/>
              </w:rPr>
              <w:t>周</w:t>
            </w:r>
            <w:r>
              <w:rPr>
                <w:rStyle w:val="10"/>
                <w:rFonts w:eastAsia="宋体"/>
              </w:rPr>
              <w:t>/</w:t>
            </w:r>
            <w:r>
              <w:rPr>
                <w:rStyle w:val="11"/>
                <w:rFonts w:hint="default"/>
              </w:rPr>
              <w:t>次</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Arial" w:hAnsi="Arial" w:eastAsia="宋体" w:cs="Arial"/>
                <w:color w:val="000000"/>
                <w:szCs w:val="21"/>
              </w:rPr>
            </w:pPr>
          </w:p>
        </w:tc>
        <w:tc>
          <w:tcPr>
            <w:tcW w:w="31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290" w:hRule="atLeast"/>
          <w:jc w:val="center"/>
        </w:trPr>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7</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赴美国研修</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赴美研修</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畅通赴美研修机制和路径，价格符合同类同级机构水平</w:t>
            </w:r>
          </w:p>
        </w:tc>
        <w:tc>
          <w:tcPr>
            <w:tcW w:w="1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含签证等手续办理、机票和住宿等</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1个月</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restart"/>
            <w:tcBorders>
              <w:top w:val="single" w:color="000000" w:sz="4" w:space="0"/>
              <w:left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290" w:hRule="atLeast"/>
          <w:jc w:val="center"/>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ascii="仿宋" w:hAnsi="仿宋" w:eastAsia="仿宋" w:cs="仿宋"/>
                <w:color w:val="000000"/>
                <w:szCs w:val="21"/>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3月</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continue"/>
            <w:tcBorders>
              <w:left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290" w:hRule="atLeast"/>
          <w:jc w:val="center"/>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ascii="仿宋" w:hAnsi="仿宋" w:eastAsia="仿宋" w:cs="仿宋"/>
                <w:color w:val="000000"/>
                <w:szCs w:val="21"/>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6月</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continue"/>
            <w:tcBorders>
              <w:left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290" w:hRule="atLeast"/>
          <w:jc w:val="center"/>
        </w:trPr>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center"/>
              <w:rPr>
                <w:rFonts w:ascii="仿宋" w:hAnsi="仿宋" w:eastAsia="仿宋" w:cs="仿宋"/>
                <w:color w:val="000000"/>
                <w:szCs w:val="21"/>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12月</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vMerge w:val="continue"/>
            <w:tcBorders>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1095"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8</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联合人才培养</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博士</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建立联合人才培养机制和路径</w:t>
            </w:r>
          </w:p>
        </w:tc>
        <w:tc>
          <w:tcPr>
            <w:tcW w:w="14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含签证等手续办理、机票、住宿和学费等</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学制2年</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c>
          <w:tcPr>
            <w:tcW w:w="315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exact"/>
              <w:jc w:val="left"/>
              <w:rPr>
                <w:rFonts w:ascii="仿宋" w:hAnsi="仿宋" w:eastAsia="仿宋" w:cs="仿宋"/>
                <w:color w:val="000000"/>
                <w:szCs w:val="21"/>
              </w:rPr>
            </w:pPr>
          </w:p>
        </w:tc>
      </w:tr>
      <w:tr>
        <w:tblPrEx>
          <w:tblCellMar>
            <w:top w:w="0" w:type="dxa"/>
            <w:left w:w="108" w:type="dxa"/>
            <w:bottom w:w="0" w:type="dxa"/>
            <w:right w:w="108" w:type="dxa"/>
          </w:tblCellMar>
        </w:tblPrEx>
        <w:trPr>
          <w:trHeight w:val="1203"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9</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服务费</w:t>
            </w:r>
          </w:p>
        </w:tc>
        <w:tc>
          <w:tcPr>
            <w:tcW w:w="4500"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pPr>
              <w:spacing w:line="240" w:lineRule="exact"/>
              <w:jc w:val="left"/>
              <w:rPr>
                <w:rFonts w:ascii="宋体" w:hAnsi="宋体" w:eastAsia="宋体" w:cs="宋体"/>
                <w:color w:val="000000"/>
                <w:sz w:val="22"/>
                <w:szCs w:val="22"/>
              </w:rPr>
            </w:pPr>
          </w:p>
        </w:tc>
        <w:tc>
          <w:tcPr>
            <w:tcW w:w="636" w:type="dxa"/>
            <w:tcBorders>
              <w:top w:val="single" w:color="000000" w:sz="4" w:space="0"/>
              <w:left w:val="single" w:color="auto" w:sz="4" w:space="0"/>
              <w:bottom w:val="single" w:color="000000" w:sz="4" w:space="0"/>
              <w:right w:val="single" w:color="000000" w:sz="4" w:space="0"/>
            </w:tcBorders>
            <w:shd w:val="clear" w:color="auto" w:fill="auto"/>
            <w:vAlign w:val="center"/>
          </w:tcPr>
          <w:p>
            <w:pPr>
              <w:spacing w:line="240" w:lineRule="exact"/>
              <w:jc w:val="left"/>
              <w:rPr>
                <w:rFonts w:ascii="宋体" w:hAnsi="宋体" w:eastAsia="宋体" w:cs="宋体"/>
                <w:color w:val="000000"/>
                <w:sz w:val="22"/>
                <w:szCs w:val="22"/>
              </w:rPr>
            </w:pPr>
          </w:p>
        </w:tc>
        <w:tc>
          <w:tcPr>
            <w:tcW w:w="31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szCs w:val="21"/>
              </w:rPr>
            </w:pPr>
            <w:r>
              <w:rPr>
                <w:rFonts w:hint="eastAsia" w:ascii="仿宋" w:hAnsi="仿宋" w:eastAsia="仿宋" w:cs="仿宋"/>
                <w:color w:val="000000"/>
                <w:kern w:val="0"/>
                <w:szCs w:val="21"/>
              </w:rPr>
              <w:t>请书写服务费提取方式、提取比例，最后综合标价</w:t>
            </w:r>
          </w:p>
        </w:tc>
      </w:tr>
      <w:tr>
        <w:tblPrEx>
          <w:tblCellMar>
            <w:top w:w="0" w:type="dxa"/>
            <w:left w:w="108" w:type="dxa"/>
            <w:bottom w:w="0" w:type="dxa"/>
            <w:right w:w="108" w:type="dxa"/>
          </w:tblCellMar>
        </w:tblPrEx>
        <w:trPr>
          <w:trHeight w:val="905" w:hRule="atLeast"/>
          <w:jc w:val="center"/>
        </w:trPr>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仿宋" w:hAnsi="仿宋" w:eastAsia="仿宋" w:cs="仿宋"/>
                <w:color w:val="000000"/>
                <w:kern w:val="0"/>
                <w:szCs w:val="21"/>
              </w:rPr>
            </w:pPr>
            <w:r>
              <w:rPr>
                <w:rFonts w:hint="eastAsia" w:ascii="仿宋" w:hAnsi="仿宋" w:eastAsia="仿宋" w:cs="仿宋"/>
                <w:color w:val="000000"/>
                <w:kern w:val="0"/>
                <w:szCs w:val="21"/>
              </w:rPr>
              <w:t>10</w:t>
            </w:r>
          </w:p>
        </w:tc>
        <w:tc>
          <w:tcPr>
            <w:tcW w:w="899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仿宋" w:hAnsi="仿宋" w:eastAsia="仿宋" w:cs="仿宋"/>
                <w:color w:val="000000"/>
                <w:kern w:val="0"/>
                <w:szCs w:val="21"/>
              </w:rPr>
            </w:pPr>
            <w:r>
              <w:rPr>
                <w:rFonts w:hint="eastAsia" w:ascii="仿宋" w:hAnsi="仿宋" w:eastAsia="仿宋" w:cs="仿宋"/>
                <w:color w:val="000000"/>
                <w:kern w:val="0"/>
                <w:szCs w:val="21"/>
              </w:rPr>
              <w:t>要求：美国高水平医院是指2021年US</w:t>
            </w:r>
            <w:r>
              <w:rPr>
                <w:rFonts w:ascii="仿宋" w:hAnsi="仿宋" w:eastAsia="仿宋" w:cs="仿宋"/>
                <w:color w:val="000000"/>
                <w:kern w:val="0"/>
                <w:szCs w:val="21"/>
              </w:rPr>
              <w:t xml:space="preserve"> </w:t>
            </w:r>
            <w:r>
              <w:rPr>
                <w:rFonts w:hint="eastAsia" w:ascii="仿宋" w:hAnsi="仿宋" w:eastAsia="仿宋" w:cs="仿宋"/>
                <w:color w:val="000000"/>
                <w:kern w:val="0"/>
                <w:szCs w:val="21"/>
              </w:rPr>
              <w:t>News</w:t>
            </w:r>
            <w:r>
              <w:rPr>
                <w:rFonts w:ascii="仿宋" w:hAnsi="仿宋" w:eastAsia="仿宋" w:cs="仿宋"/>
                <w:color w:val="000000"/>
                <w:kern w:val="0"/>
                <w:szCs w:val="21"/>
              </w:rPr>
              <w:t xml:space="preserve"> </w:t>
            </w:r>
            <w:r>
              <w:rPr>
                <w:rFonts w:hint="eastAsia" w:ascii="仿宋" w:hAnsi="仿宋" w:eastAsia="仿宋" w:cs="仿宋"/>
                <w:color w:val="000000"/>
                <w:kern w:val="0"/>
                <w:szCs w:val="21"/>
              </w:rPr>
              <w:t>医院排名前三。</w:t>
            </w:r>
          </w:p>
        </w:tc>
      </w:tr>
    </w:tbl>
    <w:p>
      <w:pPr>
        <w:rPr>
          <w:rFonts w:ascii="方正小标宋简体" w:eastAsia="方正小标宋简体"/>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singleLevel"/>
    <w:tmpl w:val="0000000D"/>
    <w:lvl w:ilvl="0" w:tentative="0">
      <w:start w:val="1"/>
      <w:numFmt w:val="decimal"/>
      <w:pStyle w:val="3"/>
      <w:lvlText w:val="%1."/>
      <w:lvlJc w:val="left"/>
      <w:pPr>
        <w:tabs>
          <w:tab w:val="left" w:pos="1200"/>
        </w:tabs>
        <w:ind w:left="1200" w:hanging="360"/>
      </w:pPr>
    </w:lvl>
  </w:abstractNum>
  <w:abstractNum w:abstractNumId="1">
    <w:nsid w:val="17AE0070"/>
    <w:multiLevelType w:val="singleLevel"/>
    <w:tmpl w:val="17AE0070"/>
    <w:lvl w:ilvl="0" w:tentative="0">
      <w:start w:val="1"/>
      <w:numFmt w:val="decimal"/>
      <w:pStyle w:val="2"/>
      <w:lvlText w:val="%1."/>
      <w:lvlJc w:val="left"/>
      <w:pPr>
        <w:tabs>
          <w:tab w:val="left" w:pos="1200"/>
        </w:tabs>
        <w:ind w:left="12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2C09B1"/>
    <w:rsid w:val="032D48D6"/>
    <w:rsid w:val="11B962FC"/>
    <w:rsid w:val="2D2C09B1"/>
    <w:rsid w:val="586B2CDF"/>
    <w:rsid w:val="6C52121A"/>
    <w:rsid w:val="7F4E3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semiHidden/>
    <w:unhideWhenUsed/>
    <w:qFormat/>
    <w:uiPriority w:val="0"/>
    <w:pPr>
      <w:keepNext/>
      <w:keepLines/>
      <w:numPr>
        <w:numId w:val="1"/>
      </w:numPr>
      <w:tabs>
        <w:tab w:val="left" w:pos="1200"/>
      </w:tabs>
      <w:spacing w:before="260" w:beforeLines="0" w:beforeAutospacing="0" w:after="260" w:afterLines="0" w:afterAutospacing="0" w:line="413" w:lineRule="auto"/>
      <w:outlineLvl w:val="1"/>
    </w:pPr>
    <w:rPr>
      <w:rFonts w:ascii="Arial" w:hAnsi="Arial" w:eastAsia="黑体"/>
      <w:b/>
      <w:sz w:val="28"/>
    </w:rPr>
  </w:style>
  <w:style w:type="paragraph" w:styleId="4">
    <w:name w:val="heading 3"/>
    <w:basedOn w:val="5"/>
    <w:next w:val="1"/>
    <w:semiHidden/>
    <w:unhideWhenUsed/>
    <w:qFormat/>
    <w:uiPriority w:val="0"/>
    <w:pPr>
      <w:keepNext/>
      <w:keepLines/>
      <w:spacing w:before="260" w:beforeLines="0" w:beforeAutospacing="0" w:after="260" w:afterLines="0" w:afterAutospacing="0" w:line="413" w:lineRule="auto"/>
      <w:outlineLvl w:val="2"/>
    </w:pPr>
    <w:rPr>
      <w:rFonts w:asciiTheme="minorAscii" w:hAnsiTheme="minorAscii"/>
      <w:sz w:val="24"/>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List Number 3"/>
    <w:basedOn w:val="1"/>
    <w:qFormat/>
    <w:uiPriority w:val="0"/>
    <w:pPr>
      <w:numPr>
        <w:ilvl w:val="0"/>
        <w:numId w:val="2"/>
      </w:numPr>
    </w:p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font31"/>
    <w:basedOn w:val="8"/>
    <w:qFormat/>
    <w:uiPriority w:val="0"/>
    <w:rPr>
      <w:rFonts w:hint="eastAsia" w:ascii="仿宋" w:hAnsi="仿宋" w:eastAsia="仿宋" w:cs="仿宋"/>
      <w:color w:val="000000"/>
      <w:sz w:val="21"/>
      <w:szCs w:val="21"/>
      <w:u w:val="none"/>
    </w:rPr>
  </w:style>
  <w:style w:type="character" w:customStyle="1" w:styleId="10">
    <w:name w:val="font11"/>
    <w:basedOn w:val="8"/>
    <w:qFormat/>
    <w:uiPriority w:val="0"/>
    <w:rPr>
      <w:rFonts w:hint="default" w:ascii="Arial" w:hAnsi="Arial" w:cs="Arial"/>
      <w:color w:val="000000"/>
      <w:sz w:val="21"/>
      <w:szCs w:val="21"/>
      <w:u w:val="none"/>
    </w:rPr>
  </w:style>
  <w:style w:type="character" w:customStyle="1" w:styleId="11">
    <w:name w:val="font0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2021-10-01T11:31:00Z</dcterms:created>
  <dc:creator>十四</dc:creator>
  <cp:lastModifiedBy>十四</cp:lastModifiedBy>
  <dcterms:modified xsi:type="dcterms:W3CDTF">2021-10-02T06:23:01Z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C9C7B26DD7BE43F480C4478DC911BACF</vt:lpwstr>
  </property>
</Properties>
</file>