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9"/>
        <w:jc w:val="center"/>
        <w:rPr>
          <w:rFonts w:hint="eastAsia" w:hAnsi="宋体" w:cs="宋体"/>
          <w:sz w:val="32"/>
          <w:szCs w:val="32"/>
          <w:lang w:bidi="ar"/>
        </w:rPr>
      </w:pPr>
      <w:r>
        <w:rPr>
          <w:rFonts w:hint="eastAsia" w:hAnsi="宋体" w:cs="宋体"/>
          <w:sz w:val="32"/>
          <w:szCs w:val="32"/>
          <w:lang w:bidi="ar"/>
        </w:rPr>
        <w:t>成都市第五人民医院设备维修服务项目2024年第</w:t>
      </w:r>
      <w:r>
        <w:rPr>
          <w:rFonts w:hint="eastAsia" w:hAnsi="宋体" w:cs="宋体"/>
          <w:sz w:val="32"/>
          <w:szCs w:val="32"/>
          <w:lang w:val="en-US" w:eastAsia="zh-CN" w:bidi="ar"/>
        </w:rPr>
        <w:t>五</w:t>
      </w:r>
      <w:r>
        <w:rPr>
          <w:rFonts w:hint="eastAsia" w:hAnsi="宋体" w:cs="宋体"/>
          <w:sz w:val="32"/>
          <w:szCs w:val="32"/>
          <w:lang w:bidi="ar"/>
        </w:rPr>
        <w:t>批</w:t>
      </w:r>
    </w:p>
    <w:p>
      <w:pPr>
        <w:pStyle w:val="9"/>
        <w:jc w:val="center"/>
        <w:rPr>
          <w:rFonts w:hint="eastAsia" w:hAnsi="宋体"/>
        </w:rPr>
      </w:pPr>
      <w:r>
        <w:rPr>
          <w:rFonts w:hint="eastAsia" w:hAnsi="宋体" w:cs="宋体"/>
          <w:sz w:val="32"/>
          <w:szCs w:val="32"/>
          <w:lang w:bidi="ar"/>
        </w:rPr>
        <w:t>综合评分标准</w:t>
      </w:r>
      <w:bookmarkStart w:id="0" w:name="_GoBack"/>
      <w:bookmarkEnd w:id="0"/>
    </w:p>
    <w:tbl>
      <w:tblPr>
        <w:tblStyle w:val="7"/>
        <w:tblpPr w:leftFromText="180" w:rightFromText="180" w:vertAnchor="text" w:horzAnchor="page" w:tblpX="1845" w:tblpY="664"/>
        <w:tblOverlap w:val="never"/>
        <w:tblW w:w="851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4"/>
        <w:gridCol w:w="1276"/>
        <w:gridCol w:w="850"/>
        <w:gridCol w:w="4253"/>
        <w:gridCol w:w="14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704" w:type="dxa"/>
            <w:tcBorders>
              <w:top w:val="single" w:color="auto" w:sz="4" w:space="0"/>
              <w:left w:val="single" w:color="auto" w:sz="4" w:space="0"/>
              <w:bottom w:val="single" w:color="auto" w:sz="4" w:space="0"/>
              <w:right w:val="single" w:color="auto" w:sz="4" w:space="0"/>
            </w:tcBorders>
            <w:vAlign w:val="center"/>
          </w:tcPr>
          <w:p>
            <w:pPr>
              <w:spacing w:line="400" w:lineRule="exact"/>
              <w:ind w:firstLine="28"/>
              <w:jc w:val="center"/>
              <w:rPr>
                <w:rFonts w:ascii="仿宋" w:hAnsi="仿宋" w:eastAsia="宋体" w:cs="Times New Roman"/>
                <w:szCs w:val="21"/>
              </w:rPr>
            </w:pPr>
            <w:r>
              <w:rPr>
                <w:rFonts w:ascii="仿宋" w:hAnsi="仿宋" w:eastAsia="宋体" w:cs="Times New Roman"/>
                <w:szCs w:val="21"/>
              </w:rPr>
              <w:t>序号</w:t>
            </w:r>
          </w:p>
        </w:tc>
        <w:tc>
          <w:tcPr>
            <w:tcW w:w="1276" w:type="dxa"/>
            <w:tcBorders>
              <w:top w:val="single" w:color="auto" w:sz="4" w:space="0"/>
              <w:left w:val="nil"/>
              <w:bottom w:val="single" w:color="auto" w:sz="4" w:space="0"/>
              <w:right w:val="single" w:color="auto" w:sz="4" w:space="0"/>
            </w:tcBorders>
            <w:vAlign w:val="center"/>
          </w:tcPr>
          <w:p>
            <w:pPr>
              <w:spacing w:line="400" w:lineRule="exact"/>
              <w:ind w:firstLine="28"/>
              <w:jc w:val="center"/>
              <w:rPr>
                <w:rFonts w:ascii="仿宋" w:hAnsi="仿宋" w:eastAsia="宋体" w:cs="Times New Roman"/>
                <w:szCs w:val="21"/>
              </w:rPr>
            </w:pPr>
            <w:r>
              <w:rPr>
                <w:rFonts w:ascii="仿宋" w:hAnsi="仿宋" w:eastAsia="宋体" w:cs="Times New Roman"/>
                <w:szCs w:val="21"/>
              </w:rPr>
              <w:t>评分因素</w:t>
            </w:r>
          </w:p>
          <w:p>
            <w:pPr>
              <w:spacing w:line="400" w:lineRule="exact"/>
              <w:ind w:firstLine="28"/>
              <w:jc w:val="center"/>
              <w:rPr>
                <w:rFonts w:ascii="仿宋" w:hAnsi="仿宋" w:eastAsia="宋体" w:cs="Times New Roman"/>
                <w:szCs w:val="21"/>
              </w:rPr>
            </w:pPr>
            <w:r>
              <w:rPr>
                <w:rFonts w:ascii="仿宋" w:hAnsi="仿宋" w:eastAsia="宋体" w:cs="Times New Roman"/>
                <w:szCs w:val="21"/>
              </w:rPr>
              <w:t>及权重</w:t>
            </w:r>
          </w:p>
        </w:tc>
        <w:tc>
          <w:tcPr>
            <w:tcW w:w="850" w:type="dxa"/>
            <w:tcBorders>
              <w:top w:val="single" w:color="auto" w:sz="4" w:space="0"/>
              <w:left w:val="nil"/>
              <w:bottom w:val="single" w:color="auto" w:sz="4" w:space="0"/>
              <w:right w:val="single" w:color="auto" w:sz="4" w:space="0"/>
            </w:tcBorders>
            <w:vAlign w:val="center"/>
          </w:tcPr>
          <w:p>
            <w:pPr>
              <w:spacing w:line="400" w:lineRule="exact"/>
              <w:ind w:firstLine="28"/>
              <w:jc w:val="center"/>
              <w:rPr>
                <w:rFonts w:ascii="仿宋" w:hAnsi="仿宋" w:eastAsia="宋体" w:cs="Times New Roman"/>
                <w:szCs w:val="21"/>
              </w:rPr>
            </w:pPr>
            <w:r>
              <w:rPr>
                <w:rFonts w:ascii="仿宋" w:hAnsi="仿宋" w:eastAsia="宋体" w:cs="Times New Roman"/>
                <w:szCs w:val="21"/>
              </w:rPr>
              <w:t>分 值</w:t>
            </w:r>
          </w:p>
        </w:tc>
        <w:tc>
          <w:tcPr>
            <w:tcW w:w="4253" w:type="dxa"/>
            <w:tcBorders>
              <w:top w:val="single" w:color="auto" w:sz="4" w:space="0"/>
              <w:left w:val="nil"/>
              <w:bottom w:val="single" w:color="auto" w:sz="4" w:space="0"/>
              <w:right w:val="single" w:color="auto" w:sz="4" w:space="0"/>
            </w:tcBorders>
            <w:vAlign w:val="center"/>
          </w:tcPr>
          <w:p>
            <w:pPr>
              <w:spacing w:line="400" w:lineRule="exact"/>
              <w:ind w:firstLine="28"/>
              <w:jc w:val="center"/>
              <w:rPr>
                <w:rFonts w:ascii="仿宋" w:hAnsi="仿宋" w:eastAsia="宋体" w:cs="Times New Roman"/>
                <w:szCs w:val="21"/>
              </w:rPr>
            </w:pPr>
            <w:r>
              <w:rPr>
                <w:rFonts w:ascii="仿宋" w:hAnsi="仿宋" w:eastAsia="宋体" w:cs="Times New Roman"/>
                <w:szCs w:val="21"/>
              </w:rPr>
              <w:t>评分标准</w:t>
            </w:r>
          </w:p>
        </w:tc>
        <w:tc>
          <w:tcPr>
            <w:tcW w:w="1430" w:type="dxa"/>
            <w:tcBorders>
              <w:top w:val="single" w:color="auto" w:sz="4" w:space="0"/>
              <w:left w:val="nil"/>
              <w:bottom w:val="single" w:color="auto" w:sz="4" w:space="0"/>
              <w:right w:val="single" w:color="auto" w:sz="4" w:space="0"/>
            </w:tcBorders>
            <w:vAlign w:val="center"/>
          </w:tcPr>
          <w:p>
            <w:pPr>
              <w:spacing w:line="400" w:lineRule="exact"/>
              <w:jc w:val="center"/>
              <w:rPr>
                <w:rFonts w:ascii="仿宋" w:hAnsi="仿宋" w:eastAsia="宋体" w:cs="Times New Roman"/>
                <w:szCs w:val="21"/>
              </w:rPr>
            </w:pPr>
            <w:r>
              <w:rPr>
                <w:rFonts w:hint="eastAsia" w:ascii="仿宋" w:hAnsi="仿宋" w:eastAsia="宋体" w:cs="Times New Roman"/>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704" w:type="dxa"/>
            <w:tcBorders>
              <w:top w:val="single" w:color="auto" w:sz="4" w:space="0"/>
              <w:left w:val="single" w:color="auto" w:sz="4" w:space="0"/>
              <w:bottom w:val="single" w:color="auto" w:sz="4" w:space="0"/>
              <w:right w:val="single" w:color="auto" w:sz="4" w:space="0"/>
            </w:tcBorders>
            <w:vAlign w:val="center"/>
          </w:tcPr>
          <w:p>
            <w:pPr>
              <w:ind w:firstLine="28"/>
              <w:jc w:val="center"/>
              <w:rPr>
                <w:rFonts w:ascii="仿宋" w:hAnsi="仿宋" w:eastAsia="宋体" w:cs="Times New Roman"/>
                <w:szCs w:val="21"/>
              </w:rPr>
            </w:pPr>
            <w:r>
              <w:rPr>
                <w:rFonts w:ascii="仿宋" w:hAnsi="仿宋" w:eastAsia="宋体" w:cs="Times New Roman"/>
                <w:szCs w:val="21"/>
              </w:rPr>
              <w:t>1</w:t>
            </w:r>
          </w:p>
        </w:tc>
        <w:tc>
          <w:tcPr>
            <w:tcW w:w="1276" w:type="dxa"/>
            <w:tcBorders>
              <w:top w:val="single" w:color="auto" w:sz="4" w:space="0"/>
              <w:left w:val="nil"/>
              <w:bottom w:val="single" w:color="auto" w:sz="4" w:space="0"/>
              <w:right w:val="single" w:color="auto" w:sz="4" w:space="0"/>
            </w:tcBorders>
            <w:vAlign w:val="center"/>
          </w:tcPr>
          <w:p>
            <w:pPr>
              <w:jc w:val="center"/>
              <w:rPr>
                <w:rFonts w:ascii="仿宋" w:hAnsi="仿宋" w:eastAsia="宋体" w:cs="Times New Roman"/>
                <w:szCs w:val="21"/>
              </w:rPr>
            </w:pPr>
            <w:r>
              <w:rPr>
                <w:rFonts w:ascii="仿宋" w:hAnsi="仿宋" w:eastAsia="宋体" w:cs="Times New Roman"/>
                <w:szCs w:val="21"/>
              </w:rPr>
              <w:t>报价40%</w:t>
            </w:r>
          </w:p>
        </w:tc>
        <w:tc>
          <w:tcPr>
            <w:tcW w:w="850" w:type="dxa"/>
            <w:tcBorders>
              <w:top w:val="single" w:color="auto" w:sz="4" w:space="0"/>
              <w:left w:val="nil"/>
              <w:bottom w:val="single" w:color="auto" w:sz="4" w:space="0"/>
              <w:right w:val="single" w:color="auto" w:sz="4" w:space="0"/>
            </w:tcBorders>
            <w:vAlign w:val="center"/>
          </w:tcPr>
          <w:p>
            <w:pPr>
              <w:jc w:val="center"/>
              <w:rPr>
                <w:rFonts w:ascii="仿宋" w:hAnsi="仿宋" w:eastAsia="宋体" w:cs="Times New Roman"/>
                <w:szCs w:val="21"/>
              </w:rPr>
            </w:pPr>
            <w:r>
              <w:rPr>
                <w:rFonts w:ascii="宋体" w:hAnsi="宋体" w:eastAsia="宋体" w:cs="Times New Roman"/>
                <w:szCs w:val="21"/>
              </w:rPr>
              <w:t>40分</w:t>
            </w:r>
          </w:p>
        </w:tc>
        <w:tc>
          <w:tcPr>
            <w:tcW w:w="4253" w:type="dxa"/>
            <w:tcBorders>
              <w:top w:val="single" w:color="auto" w:sz="4" w:space="0"/>
              <w:left w:val="nil"/>
              <w:bottom w:val="single" w:color="auto" w:sz="4" w:space="0"/>
              <w:right w:val="single" w:color="auto" w:sz="4" w:space="0"/>
            </w:tcBorders>
            <w:vAlign w:val="center"/>
          </w:tcPr>
          <w:p>
            <w:pPr>
              <w:jc w:val="left"/>
              <w:rPr>
                <w:rFonts w:ascii="仿宋" w:hAnsi="仿宋" w:eastAsia="宋体" w:cs="Times New Roman"/>
                <w:szCs w:val="21"/>
              </w:rPr>
            </w:pPr>
            <w:r>
              <w:rPr>
                <w:rFonts w:hint="eastAsia" w:ascii="仿宋" w:hAnsi="仿宋" w:eastAsia="宋体" w:cs="Times New Roman"/>
                <w:szCs w:val="21"/>
              </w:rPr>
              <w:t>满足比选文件要求且最后报价最低的供应商的价格为比选基准价，其价格分为满分。其他供应商的价格分统一按照下列公式计算：</w:t>
            </w:r>
          </w:p>
          <w:p>
            <w:pPr>
              <w:jc w:val="left"/>
              <w:rPr>
                <w:rFonts w:ascii="仿宋" w:hAnsi="仿宋" w:eastAsia="宋体" w:cs="Times New Roman"/>
                <w:szCs w:val="21"/>
              </w:rPr>
            </w:pPr>
            <w:r>
              <w:rPr>
                <w:rFonts w:hint="eastAsia" w:ascii="仿宋" w:hAnsi="仿宋" w:eastAsia="宋体" w:cs="Times New Roman"/>
                <w:szCs w:val="21"/>
              </w:rPr>
              <w:t>比选报价得分=</w:t>
            </w:r>
            <w:r>
              <w:rPr>
                <w:rFonts w:hint="eastAsia" w:ascii="宋体" w:hAnsi="宋体" w:eastAsia="宋体" w:cs="Times New Roman"/>
                <w:szCs w:val="21"/>
              </w:rPr>
              <w:t>（比选基准价</w:t>
            </w:r>
            <w:r>
              <w:rPr>
                <w:rFonts w:hint="eastAsia" w:ascii="仿宋" w:hAnsi="仿宋" w:eastAsia="宋体" w:cs="Times New Roman"/>
                <w:szCs w:val="21"/>
              </w:rPr>
              <w:t>/</w:t>
            </w:r>
            <w:r>
              <w:rPr>
                <w:rFonts w:hint="eastAsia" w:ascii="宋体" w:hAnsi="宋体" w:eastAsia="宋体" w:cs="Times New Roman"/>
                <w:szCs w:val="21"/>
              </w:rPr>
              <w:t>最后比选报价）×</w:t>
            </w:r>
            <w:r>
              <w:rPr>
                <w:rFonts w:ascii="宋体" w:hAnsi="宋体" w:eastAsia="宋体" w:cs="Times New Roman"/>
                <w:szCs w:val="21"/>
              </w:rPr>
              <w:t>40</w:t>
            </w:r>
            <w:r>
              <w:rPr>
                <w:rFonts w:hint="eastAsia" w:ascii="宋体" w:hAnsi="宋体" w:eastAsia="宋体" w:cs="Times New Roman"/>
                <w:szCs w:val="21"/>
              </w:rPr>
              <w:t>×</w:t>
            </w:r>
            <w:r>
              <w:rPr>
                <w:rFonts w:hint="eastAsia" w:ascii="仿宋" w:hAnsi="仿宋" w:eastAsia="宋体" w:cs="Times New Roman"/>
                <w:szCs w:val="21"/>
              </w:rPr>
              <w:t>100%</w:t>
            </w:r>
          </w:p>
        </w:tc>
        <w:tc>
          <w:tcPr>
            <w:tcW w:w="1430" w:type="dxa"/>
            <w:tcBorders>
              <w:top w:val="single" w:color="auto" w:sz="4" w:space="0"/>
              <w:left w:val="nil"/>
              <w:bottom w:val="single" w:color="auto" w:sz="4" w:space="0"/>
              <w:right w:val="single" w:color="auto" w:sz="4" w:space="0"/>
            </w:tcBorders>
            <w:vAlign w:val="center"/>
          </w:tcPr>
          <w:p>
            <w:pPr>
              <w:jc w:val="center"/>
              <w:rPr>
                <w:rFonts w:ascii="仿宋" w:hAnsi="仿宋" w:eastAsia="宋体" w:cs="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704" w:type="dxa"/>
            <w:tcBorders>
              <w:top w:val="single" w:color="auto" w:sz="4" w:space="0"/>
              <w:left w:val="single" w:color="auto" w:sz="4" w:space="0"/>
              <w:bottom w:val="single" w:color="auto" w:sz="4" w:space="0"/>
              <w:right w:val="single" w:color="auto" w:sz="4" w:space="0"/>
            </w:tcBorders>
            <w:vAlign w:val="center"/>
          </w:tcPr>
          <w:p>
            <w:pPr>
              <w:ind w:firstLine="28"/>
              <w:jc w:val="center"/>
              <w:rPr>
                <w:rFonts w:ascii="仿宋" w:hAnsi="仿宋" w:eastAsia="宋体" w:cs="Times New Roman"/>
                <w:szCs w:val="21"/>
              </w:rPr>
            </w:pPr>
            <w:r>
              <w:rPr>
                <w:rFonts w:hint="eastAsia" w:ascii="仿宋" w:hAnsi="仿宋" w:eastAsia="宋体" w:cs="Times New Roman"/>
                <w:szCs w:val="21"/>
              </w:rPr>
              <w:t>2</w:t>
            </w:r>
          </w:p>
        </w:tc>
        <w:tc>
          <w:tcPr>
            <w:tcW w:w="1276" w:type="dxa"/>
            <w:tcBorders>
              <w:top w:val="single" w:color="auto" w:sz="4" w:space="0"/>
              <w:left w:val="nil"/>
              <w:bottom w:val="single" w:color="auto" w:sz="4" w:space="0"/>
              <w:right w:val="single" w:color="auto" w:sz="4" w:space="0"/>
            </w:tcBorders>
            <w:vAlign w:val="center"/>
          </w:tcPr>
          <w:p>
            <w:pPr>
              <w:jc w:val="center"/>
              <w:rPr>
                <w:rFonts w:ascii="仿宋" w:hAnsi="仿宋" w:eastAsia="宋体" w:cs="Times New Roman"/>
                <w:szCs w:val="21"/>
              </w:rPr>
            </w:pPr>
            <w:r>
              <w:rPr>
                <w:rFonts w:hint="eastAsia" w:ascii="仿宋" w:hAnsi="仿宋" w:eastAsia="宋体" w:cs="Times New Roman"/>
                <w:szCs w:val="21"/>
              </w:rPr>
              <w:t>项目实施方案</w:t>
            </w:r>
            <w:r>
              <w:rPr>
                <w:rFonts w:ascii="仿宋" w:hAnsi="仿宋" w:eastAsia="宋体" w:cs="Times New Roman"/>
                <w:szCs w:val="21"/>
              </w:rPr>
              <w:t>24%</w:t>
            </w:r>
          </w:p>
        </w:tc>
        <w:tc>
          <w:tcPr>
            <w:tcW w:w="850" w:type="dxa"/>
            <w:tcBorders>
              <w:top w:val="single" w:color="auto" w:sz="4" w:space="0"/>
              <w:left w:val="nil"/>
              <w:bottom w:val="single" w:color="auto" w:sz="4" w:space="0"/>
              <w:right w:val="single" w:color="auto" w:sz="4" w:space="0"/>
            </w:tcBorders>
            <w:vAlign w:val="center"/>
          </w:tcPr>
          <w:p>
            <w:pPr>
              <w:jc w:val="center"/>
              <w:rPr>
                <w:rFonts w:ascii="仿宋" w:hAnsi="仿宋" w:eastAsia="宋体" w:cs="Times New Roman"/>
                <w:szCs w:val="21"/>
              </w:rPr>
            </w:pPr>
            <w:r>
              <w:rPr>
                <w:rFonts w:ascii="仿宋" w:hAnsi="仿宋" w:eastAsia="宋体" w:cs="Times New Roman"/>
                <w:szCs w:val="21"/>
              </w:rPr>
              <w:t>24分</w:t>
            </w:r>
          </w:p>
        </w:tc>
        <w:tc>
          <w:tcPr>
            <w:tcW w:w="4253" w:type="dxa"/>
            <w:tcBorders>
              <w:top w:val="single" w:color="auto" w:sz="4" w:space="0"/>
              <w:left w:val="nil"/>
              <w:bottom w:val="single" w:color="auto" w:sz="4" w:space="0"/>
              <w:right w:val="single" w:color="auto" w:sz="4" w:space="0"/>
            </w:tcBorders>
            <w:vAlign w:val="center"/>
          </w:tcPr>
          <w:p>
            <w:pPr>
              <w:jc w:val="left"/>
              <w:rPr>
                <w:rFonts w:ascii="仿宋" w:hAnsi="仿宋" w:eastAsia="宋体" w:cs="Times New Roman"/>
                <w:szCs w:val="21"/>
              </w:rPr>
            </w:pPr>
            <w:r>
              <w:rPr>
                <w:rFonts w:hint="eastAsia" w:ascii="仿宋" w:hAnsi="仿宋" w:eastAsia="宋体" w:cs="Times New Roman"/>
                <w:szCs w:val="21"/>
              </w:rPr>
              <w:t>供应商根据本项目特点，提供以下实施方案进行综合评审：</w:t>
            </w:r>
            <w:r>
              <w:rPr>
                <w:rFonts w:hint="eastAsia" w:ascii="宋体" w:hAnsi="宋体" w:eastAsia="宋体" w:cs="Times New Roman"/>
              </w:rPr>
              <w:t>①</w:t>
            </w:r>
            <w:r>
              <w:rPr>
                <w:rFonts w:hint="eastAsia" w:ascii="仿宋" w:hAnsi="仿宋" w:eastAsia="宋体" w:cs="Times New Roman"/>
                <w:szCs w:val="21"/>
              </w:rPr>
              <w:t>详细的维修方案（包含设备维修期间是否提供备用机），</w:t>
            </w:r>
            <w:r>
              <w:rPr>
                <w:rFonts w:hint="eastAsia" w:ascii="宋体" w:hAnsi="宋体" w:eastAsia="宋体" w:cs="Times New Roman"/>
              </w:rPr>
              <w:t>②维修设备所需零配件配备情况，③质保期内的维修响应（包含到场时间，故障解决时间）。</w:t>
            </w:r>
          </w:p>
          <w:p>
            <w:pPr>
              <w:jc w:val="left"/>
            </w:pPr>
            <w:r>
              <w:rPr>
                <w:rFonts w:hint="eastAsia"/>
              </w:rPr>
              <w:t>每有一项未提供的扣</w:t>
            </w:r>
            <w:r>
              <w:t>8</w:t>
            </w:r>
            <w:r>
              <w:rPr>
                <w:rFonts w:hint="eastAsia"/>
              </w:rPr>
              <w:t>分，每有一项存在缺陷（缺陷指：存在不适用项目实际情况的情形、凭空编造、内容前后不一致、前后逻辑错误、涉及的规范及标准错误、内容缺失、不符合采购需求）的扣</w:t>
            </w:r>
            <w:r>
              <w:t>4</w:t>
            </w:r>
            <w:r>
              <w:rPr>
                <w:rFonts w:hint="eastAsia"/>
              </w:rPr>
              <w:t>分，本项分扣完为止。</w:t>
            </w:r>
          </w:p>
        </w:tc>
        <w:tc>
          <w:tcPr>
            <w:tcW w:w="1430" w:type="dxa"/>
            <w:tcBorders>
              <w:top w:val="single" w:color="auto" w:sz="4" w:space="0"/>
              <w:left w:val="nil"/>
              <w:bottom w:val="single" w:color="auto" w:sz="4" w:space="0"/>
              <w:right w:val="single" w:color="auto" w:sz="4" w:space="0"/>
            </w:tcBorders>
            <w:vAlign w:val="center"/>
          </w:tcPr>
          <w:p>
            <w:pPr>
              <w:jc w:val="center"/>
              <w:rPr>
                <w:rFonts w:ascii="仿宋" w:hAnsi="仿宋" w:eastAsia="宋体" w:cs="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704"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宋体" w:cs="Times New Roman"/>
                <w:szCs w:val="21"/>
              </w:rPr>
            </w:pPr>
            <w:r>
              <w:rPr>
                <w:rFonts w:hint="eastAsia" w:ascii="仿宋" w:hAnsi="仿宋" w:eastAsia="宋体" w:cs="Times New Roman"/>
                <w:szCs w:val="21"/>
              </w:rPr>
              <w:t>3</w:t>
            </w:r>
          </w:p>
        </w:tc>
        <w:tc>
          <w:tcPr>
            <w:tcW w:w="1276" w:type="dxa"/>
            <w:tcBorders>
              <w:top w:val="single" w:color="auto" w:sz="4" w:space="0"/>
              <w:left w:val="nil"/>
              <w:bottom w:val="single" w:color="auto" w:sz="4" w:space="0"/>
              <w:right w:val="single" w:color="auto" w:sz="4" w:space="0"/>
            </w:tcBorders>
            <w:vAlign w:val="center"/>
          </w:tcPr>
          <w:p>
            <w:pPr>
              <w:jc w:val="center"/>
              <w:rPr>
                <w:rFonts w:ascii="仿宋" w:hAnsi="仿宋" w:eastAsia="宋体" w:cs="Times New Roman"/>
                <w:szCs w:val="21"/>
              </w:rPr>
            </w:pPr>
            <w:r>
              <w:rPr>
                <w:rFonts w:hint="eastAsia" w:ascii="仿宋" w:hAnsi="仿宋" w:eastAsia="宋体" w:cs="Times New Roman"/>
                <w:szCs w:val="21"/>
              </w:rPr>
              <w:t>授权10</w:t>
            </w:r>
            <w:r>
              <w:rPr>
                <w:rFonts w:ascii="仿宋" w:hAnsi="仿宋" w:eastAsia="宋体" w:cs="Times New Roman"/>
                <w:szCs w:val="21"/>
              </w:rPr>
              <w:t>%</w:t>
            </w:r>
          </w:p>
        </w:tc>
        <w:tc>
          <w:tcPr>
            <w:tcW w:w="850" w:type="dxa"/>
            <w:tcBorders>
              <w:top w:val="single" w:color="auto" w:sz="4" w:space="0"/>
              <w:left w:val="nil"/>
              <w:bottom w:val="single" w:color="auto" w:sz="4" w:space="0"/>
              <w:right w:val="single" w:color="auto" w:sz="4" w:space="0"/>
            </w:tcBorders>
            <w:vAlign w:val="center"/>
          </w:tcPr>
          <w:p>
            <w:pPr>
              <w:jc w:val="center"/>
              <w:rPr>
                <w:rFonts w:ascii="仿宋" w:hAnsi="仿宋" w:eastAsia="宋体" w:cs="Times New Roman"/>
                <w:szCs w:val="21"/>
              </w:rPr>
            </w:pPr>
            <w:r>
              <w:rPr>
                <w:rFonts w:hint="eastAsia" w:ascii="仿宋" w:hAnsi="仿宋" w:eastAsia="宋体" w:cs="Times New Roman"/>
                <w:szCs w:val="21"/>
              </w:rPr>
              <w:t>1</w:t>
            </w:r>
            <w:r>
              <w:rPr>
                <w:rFonts w:ascii="仿宋" w:hAnsi="仿宋" w:eastAsia="宋体" w:cs="Times New Roman"/>
                <w:szCs w:val="21"/>
              </w:rPr>
              <w:t>0</w:t>
            </w:r>
            <w:r>
              <w:rPr>
                <w:rFonts w:hint="eastAsia" w:ascii="仿宋" w:hAnsi="仿宋" w:eastAsia="宋体" w:cs="Times New Roman"/>
                <w:szCs w:val="21"/>
              </w:rPr>
              <w:t>分</w:t>
            </w:r>
          </w:p>
        </w:tc>
        <w:tc>
          <w:tcPr>
            <w:tcW w:w="4253" w:type="dxa"/>
            <w:tcBorders>
              <w:top w:val="single" w:color="auto" w:sz="4" w:space="0"/>
              <w:left w:val="nil"/>
              <w:bottom w:val="single" w:color="auto" w:sz="4" w:space="0"/>
              <w:right w:val="single" w:color="auto" w:sz="4" w:space="0"/>
            </w:tcBorders>
            <w:vAlign w:val="center"/>
          </w:tcPr>
          <w:p>
            <w:pPr>
              <w:jc w:val="left"/>
              <w:rPr>
                <w:rFonts w:ascii="仿宋" w:hAnsi="仿宋" w:eastAsia="宋体" w:cs="Times New Roman"/>
                <w:szCs w:val="21"/>
              </w:rPr>
            </w:pPr>
            <w:r>
              <w:rPr>
                <w:rFonts w:hint="eastAsia" w:ascii="仿宋" w:hAnsi="仿宋" w:eastAsia="宋体" w:cs="Times New Roman"/>
                <w:szCs w:val="21"/>
              </w:rPr>
              <w:t>供应商提供所投维修的设备生产厂家或具有授权权限的代理机构出具的维修授权的，得</w:t>
            </w:r>
            <w:r>
              <w:rPr>
                <w:rFonts w:ascii="仿宋" w:hAnsi="仿宋" w:eastAsia="宋体" w:cs="Times New Roman"/>
                <w:szCs w:val="21"/>
              </w:rPr>
              <w:t>10</w:t>
            </w:r>
            <w:r>
              <w:rPr>
                <w:rFonts w:hint="eastAsia" w:ascii="仿宋" w:hAnsi="仿宋" w:eastAsia="宋体" w:cs="Times New Roman"/>
                <w:szCs w:val="21"/>
              </w:rPr>
              <w:t xml:space="preserve">分。  </w:t>
            </w:r>
          </w:p>
          <w:p>
            <w:pPr>
              <w:jc w:val="left"/>
              <w:rPr>
                <w:rFonts w:ascii="仿宋" w:hAnsi="仿宋" w:eastAsia="宋体" w:cs="Times New Roman"/>
                <w:szCs w:val="21"/>
              </w:rPr>
            </w:pPr>
            <w:r>
              <w:rPr>
                <w:rFonts w:hint="eastAsia" w:ascii="仿宋" w:hAnsi="仿宋" w:eastAsia="宋体" w:cs="Times New Roman"/>
                <w:szCs w:val="21"/>
              </w:rPr>
              <w:t>注：提供维修授权证明材料并加盖供应商公章。</w:t>
            </w:r>
          </w:p>
        </w:tc>
        <w:tc>
          <w:tcPr>
            <w:tcW w:w="1430" w:type="dxa"/>
            <w:tcBorders>
              <w:top w:val="single" w:color="auto" w:sz="4" w:space="0"/>
              <w:left w:val="nil"/>
              <w:bottom w:val="single" w:color="auto" w:sz="4" w:space="0"/>
              <w:right w:val="single" w:color="auto" w:sz="4" w:space="0"/>
            </w:tcBorders>
            <w:vAlign w:val="center"/>
          </w:tcPr>
          <w:p>
            <w:pPr>
              <w:jc w:val="center"/>
              <w:rPr>
                <w:rFonts w:ascii="仿宋" w:hAnsi="仿宋" w:eastAsia="宋体" w:cs="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704"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宋体" w:cs="Times New Roman"/>
                <w:szCs w:val="21"/>
              </w:rPr>
            </w:pPr>
            <w:r>
              <w:rPr>
                <w:rFonts w:hint="eastAsia" w:ascii="仿宋" w:hAnsi="仿宋" w:eastAsia="宋体" w:cs="Times New Roman"/>
                <w:szCs w:val="21"/>
              </w:rPr>
              <w:t>4</w:t>
            </w:r>
          </w:p>
        </w:tc>
        <w:tc>
          <w:tcPr>
            <w:tcW w:w="1276" w:type="dxa"/>
            <w:tcBorders>
              <w:top w:val="single" w:color="auto" w:sz="4" w:space="0"/>
              <w:left w:val="nil"/>
              <w:bottom w:val="single" w:color="auto" w:sz="4" w:space="0"/>
              <w:right w:val="single" w:color="auto" w:sz="4" w:space="0"/>
            </w:tcBorders>
            <w:vAlign w:val="center"/>
          </w:tcPr>
          <w:p>
            <w:pPr>
              <w:jc w:val="center"/>
              <w:rPr>
                <w:rFonts w:ascii="仿宋" w:hAnsi="仿宋" w:eastAsia="宋体" w:cs="Times New Roman"/>
                <w:szCs w:val="21"/>
              </w:rPr>
            </w:pPr>
            <w:r>
              <w:rPr>
                <w:rFonts w:hint="eastAsia" w:ascii="仿宋" w:hAnsi="仿宋" w:eastAsia="宋体" w:cs="Times New Roman"/>
                <w:szCs w:val="21"/>
              </w:rPr>
              <w:t>人员配备1</w:t>
            </w:r>
            <w:r>
              <w:rPr>
                <w:rFonts w:ascii="仿宋" w:hAnsi="仿宋" w:eastAsia="宋体" w:cs="Times New Roman"/>
                <w:szCs w:val="21"/>
              </w:rPr>
              <w:t>0%</w:t>
            </w:r>
          </w:p>
        </w:tc>
        <w:tc>
          <w:tcPr>
            <w:tcW w:w="850" w:type="dxa"/>
            <w:tcBorders>
              <w:top w:val="single" w:color="auto" w:sz="4" w:space="0"/>
              <w:left w:val="nil"/>
              <w:bottom w:val="single" w:color="auto" w:sz="4" w:space="0"/>
              <w:right w:val="single" w:color="auto" w:sz="4" w:space="0"/>
            </w:tcBorders>
            <w:vAlign w:val="center"/>
          </w:tcPr>
          <w:p>
            <w:pPr>
              <w:jc w:val="center"/>
              <w:rPr>
                <w:rFonts w:ascii="仿宋" w:hAnsi="仿宋" w:eastAsia="宋体" w:cs="Times New Roman"/>
                <w:szCs w:val="21"/>
              </w:rPr>
            </w:pPr>
            <w:r>
              <w:rPr>
                <w:rFonts w:hint="eastAsia" w:ascii="仿宋" w:hAnsi="仿宋" w:eastAsia="宋体" w:cs="Times New Roman"/>
                <w:szCs w:val="21"/>
              </w:rPr>
              <w:t>1</w:t>
            </w:r>
            <w:r>
              <w:rPr>
                <w:rFonts w:ascii="仿宋" w:hAnsi="仿宋" w:eastAsia="宋体" w:cs="Times New Roman"/>
                <w:szCs w:val="21"/>
              </w:rPr>
              <w:t>0</w:t>
            </w:r>
            <w:r>
              <w:rPr>
                <w:rFonts w:hint="eastAsia" w:ascii="仿宋" w:hAnsi="仿宋" w:eastAsia="宋体" w:cs="Times New Roman"/>
                <w:szCs w:val="21"/>
              </w:rPr>
              <w:t>分</w:t>
            </w:r>
          </w:p>
        </w:tc>
        <w:tc>
          <w:tcPr>
            <w:tcW w:w="4253" w:type="dxa"/>
            <w:tcBorders>
              <w:top w:val="single" w:color="auto" w:sz="4" w:space="0"/>
              <w:left w:val="nil"/>
              <w:bottom w:val="single" w:color="auto" w:sz="4" w:space="0"/>
              <w:right w:val="single" w:color="auto" w:sz="4" w:space="0"/>
            </w:tcBorders>
            <w:vAlign w:val="center"/>
          </w:tcPr>
          <w:p>
            <w:pPr>
              <w:jc w:val="left"/>
              <w:rPr>
                <w:rFonts w:ascii="仿宋" w:hAnsi="仿宋" w:eastAsia="宋体" w:cs="Times New Roman"/>
                <w:szCs w:val="21"/>
              </w:rPr>
            </w:pPr>
            <w:r>
              <w:rPr>
                <w:rFonts w:hint="eastAsia" w:ascii="仿宋" w:hAnsi="仿宋" w:eastAsia="宋体" w:cs="Times New Roman"/>
                <w:szCs w:val="21"/>
              </w:rPr>
              <w:t>供应商为本项目派出的维修人员，具备设备原厂培训认证的证书或者培训证明的，即可得</w:t>
            </w:r>
            <w:r>
              <w:rPr>
                <w:rFonts w:ascii="仿宋" w:hAnsi="仿宋" w:eastAsia="宋体" w:cs="Times New Roman"/>
                <w:szCs w:val="21"/>
              </w:rPr>
              <w:t>10</w:t>
            </w:r>
            <w:r>
              <w:rPr>
                <w:rFonts w:hint="eastAsia" w:ascii="仿宋" w:hAnsi="仿宋" w:eastAsia="宋体" w:cs="Times New Roman"/>
                <w:szCs w:val="21"/>
              </w:rPr>
              <w:t>分。</w:t>
            </w:r>
          </w:p>
          <w:p>
            <w:pPr>
              <w:jc w:val="left"/>
              <w:rPr>
                <w:rFonts w:ascii="仿宋" w:hAnsi="仿宋" w:eastAsia="宋体" w:cs="Times New Roman"/>
                <w:szCs w:val="21"/>
              </w:rPr>
            </w:pPr>
            <w:r>
              <w:rPr>
                <w:rFonts w:hint="eastAsia" w:ascii="仿宋" w:hAnsi="仿宋" w:eastAsia="宋体" w:cs="Times New Roman"/>
                <w:szCs w:val="21"/>
              </w:rPr>
              <w:t>注：提供相关人员证书（培训证明）及在职证明复印件，若维修人员为设备原厂工程师，需提供厂家的在职证明。</w:t>
            </w:r>
          </w:p>
        </w:tc>
        <w:tc>
          <w:tcPr>
            <w:tcW w:w="1430" w:type="dxa"/>
            <w:tcBorders>
              <w:top w:val="single" w:color="auto" w:sz="4" w:space="0"/>
              <w:left w:val="nil"/>
              <w:bottom w:val="single" w:color="auto" w:sz="4" w:space="0"/>
              <w:right w:val="single" w:color="auto" w:sz="4" w:space="0"/>
            </w:tcBorders>
            <w:vAlign w:val="center"/>
          </w:tcPr>
          <w:p>
            <w:pPr>
              <w:jc w:val="center"/>
              <w:rPr>
                <w:rFonts w:ascii="仿宋" w:hAnsi="仿宋" w:eastAsia="宋体" w:cs="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704"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宋体" w:cs="Times New Roman"/>
                <w:szCs w:val="21"/>
              </w:rPr>
            </w:pPr>
            <w:r>
              <w:rPr>
                <w:rFonts w:hint="eastAsia" w:ascii="仿宋" w:hAnsi="仿宋" w:eastAsia="宋体" w:cs="Times New Roman"/>
                <w:szCs w:val="21"/>
              </w:rPr>
              <w:t>5</w:t>
            </w:r>
          </w:p>
        </w:tc>
        <w:tc>
          <w:tcPr>
            <w:tcW w:w="1276" w:type="dxa"/>
            <w:tcBorders>
              <w:top w:val="single" w:color="auto" w:sz="4" w:space="0"/>
              <w:left w:val="nil"/>
              <w:bottom w:val="single" w:color="auto" w:sz="4" w:space="0"/>
              <w:right w:val="single" w:color="auto" w:sz="4" w:space="0"/>
            </w:tcBorders>
            <w:vAlign w:val="center"/>
          </w:tcPr>
          <w:p>
            <w:pPr>
              <w:jc w:val="center"/>
              <w:rPr>
                <w:rFonts w:ascii="仿宋" w:hAnsi="仿宋" w:eastAsia="宋体" w:cs="Times New Roman"/>
                <w:szCs w:val="21"/>
              </w:rPr>
            </w:pPr>
            <w:r>
              <w:rPr>
                <w:rFonts w:hint="eastAsia" w:ascii="仿宋" w:hAnsi="仿宋" w:eastAsia="宋体" w:cs="Times New Roman"/>
                <w:szCs w:val="21"/>
              </w:rPr>
              <w:t>有利于项目实施的承诺</w:t>
            </w:r>
            <w:r>
              <w:rPr>
                <w:rFonts w:ascii="仿宋" w:hAnsi="仿宋" w:eastAsia="宋体" w:cs="Times New Roman"/>
                <w:szCs w:val="21"/>
              </w:rPr>
              <w:t>6%</w:t>
            </w:r>
          </w:p>
        </w:tc>
        <w:tc>
          <w:tcPr>
            <w:tcW w:w="850" w:type="dxa"/>
            <w:tcBorders>
              <w:top w:val="single" w:color="auto" w:sz="4" w:space="0"/>
              <w:left w:val="nil"/>
              <w:bottom w:val="single" w:color="auto" w:sz="4" w:space="0"/>
              <w:right w:val="single" w:color="auto" w:sz="4" w:space="0"/>
            </w:tcBorders>
            <w:vAlign w:val="center"/>
          </w:tcPr>
          <w:p>
            <w:pPr>
              <w:jc w:val="center"/>
              <w:rPr>
                <w:rFonts w:ascii="仿宋" w:hAnsi="仿宋" w:eastAsia="宋体" w:cs="Times New Roman"/>
                <w:szCs w:val="21"/>
              </w:rPr>
            </w:pPr>
            <w:r>
              <w:rPr>
                <w:rFonts w:ascii="仿宋" w:hAnsi="仿宋" w:eastAsia="宋体" w:cs="Times New Roman"/>
                <w:szCs w:val="21"/>
              </w:rPr>
              <w:t>6分</w:t>
            </w:r>
          </w:p>
        </w:tc>
        <w:tc>
          <w:tcPr>
            <w:tcW w:w="4253" w:type="dxa"/>
            <w:tcBorders>
              <w:top w:val="single" w:color="auto" w:sz="4" w:space="0"/>
              <w:left w:val="nil"/>
              <w:bottom w:val="single" w:color="auto" w:sz="4" w:space="0"/>
              <w:right w:val="single" w:color="auto" w:sz="4" w:space="0"/>
            </w:tcBorders>
            <w:vAlign w:val="center"/>
          </w:tcPr>
          <w:p>
            <w:pPr>
              <w:jc w:val="center"/>
              <w:rPr>
                <w:rFonts w:ascii="仿宋" w:hAnsi="仿宋" w:eastAsia="宋体" w:cs="Times New Roman"/>
                <w:szCs w:val="21"/>
              </w:rPr>
            </w:pPr>
            <w:r>
              <w:rPr>
                <w:rFonts w:hint="eastAsia" w:ascii="仿宋" w:hAnsi="仿宋" w:eastAsia="宋体" w:cs="Times New Roman"/>
                <w:szCs w:val="21"/>
              </w:rPr>
              <w:t>供应商在满足招标文件质保期的前提下，承诺每延长</w:t>
            </w:r>
            <w:r>
              <w:rPr>
                <w:rFonts w:ascii="仿宋" w:hAnsi="仿宋" w:eastAsia="宋体" w:cs="Times New Roman"/>
                <w:szCs w:val="21"/>
              </w:rPr>
              <w:t>1</w:t>
            </w:r>
            <w:r>
              <w:rPr>
                <w:rFonts w:hint="eastAsia" w:ascii="仿宋" w:hAnsi="仿宋" w:eastAsia="宋体" w:cs="Times New Roman"/>
                <w:szCs w:val="21"/>
              </w:rPr>
              <w:t>个月质保期加1分，最多加</w:t>
            </w:r>
            <w:r>
              <w:rPr>
                <w:rFonts w:ascii="仿宋" w:hAnsi="仿宋" w:eastAsia="宋体" w:cs="Times New Roman"/>
                <w:szCs w:val="21"/>
              </w:rPr>
              <w:t>6</w:t>
            </w:r>
            <w:r>
              <w:rPr>
                <w:rFonts w:hint="eastAsia" w:ascii="仿宋" w:hAnsi="仿宋" w:eastAsia="宋体" w:cs="Times New Roman"/>
                <w:szCs w:val="21"/>
              </w:rPr>
              <w:t>分。</w:t>
            </w:r>
          </w:p>
        </w:tc>
        <w:tc>
          <w:tcPr>
            <w:tcW w:w="1430" w:type="dxa"/>
            <w:tcBorders>
              <w:top w:val="single" w:color="auto" w:sz="4" w:space="0"/>
              <w:left w:val="nil"/>
              <w:bottom w:val="single" w:color="auto" w:sz="4" w:space="0"/>
              <w:right w:val="single" w:color="auto" w:sz="4" w:space="0"/>
            </w:tcBorders>
            <w:vAlign w:val="center"/>
          </w:tcPr>
          <w:p>
            <w:pPr>
              <w:jc w:val="center"/>
              <w:rPr>
                <w:rFonts w:ascii="仿宋" w:hAnsi="仿宋" w:eastAsia="宋体" w:cs="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704"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宋体" w:cs="Times New Roman"/>
                <w:szCs w:val="21"/>
              </w:rPr>
            </w:pPr>
            <w:r>
              <w:rPr>
                <w:rFonts w:ascii="仿宋" w:hAnsi="仿宋" w:eastAsia="宋体" w:cs="Times New Roman"/>
                <w:szCs w:val="21"/>
              </w:rPr>
              <w:t>6</w:t>
            </w:r>
          </w:p>
        </w:tc>
        <w:tc>
          <w:tcPr>
            <w:tcW w:w="1276" w:type="dxa"/>
            <w:tcBorders>
              <w:top w:val="single" w:color="auto" w:sz="4" w:space="0"/>
              <w:left w:val="nil"/>
              <w:bottom w:val="single" w:color="auto" w:sz="4" w:space="0"/>
              <w:right w:val="single" w:color="auto" w:sz="4" w:space="0"/>
            </w:tcBorders>
            <w:vAlign w:val="center"/>
          </w:tcPr>
          <w:p>
            <w:pPr>
              <w:jc w:val="center"/>
              <w:rPr>
                <w:rFonts w:ascii="仿宋" w:hAnsi="仿宋" w:eastAsia="宋体" w:cs="Times New Roman"/>
                <w:szCs w:val="21"/>
              </w:rPr>
            </w:pPr>
            <w:r>
              <w:rPr>
                <w:rFonts w:hint="eastAsia" w:ascii="仿宋" w:hAnsi="仿宋" w:eastAsia="宋体" w:cs="Times New Roman"/>
                <w:szCs w:val="21"/>
              </w:rPr>
              <w:t>履约能力</w:t>
            </w:r>
            <w:r>
              <w:rPr>
                <w:rFonts w:ascii="仿宋" w:hAnsi="仿宋" w:eastAsia="宋体" w:cs="Times New Roman"/>
                <w:szCs w:val="21"/>
              </w:rPr>
              <w:t>10%</w:t>
            </w:r>
          </w:p>
        </w:tc>
        <w:tc>
          <w:tcPr>
            <w:tcW w:w="850" w:type="dxa"/>
            <w:tcBorders>
              <w:top w:val="single" w:color="auto" w:sz="4" w:space="0"/>
              <w:left w:val="nil"/>
              <w:bottom w:val="single" w:color="auto" w:sz="4" w:space="0"/>
              <w:right w:val="single" w:color="auto" w:sz="4" w:space="0"/>
            </w:tcBorders>
            <w:vAlign w:val="center"/>
          </w:tcPr>
          <w:p>
            <w:pPr>
              <w:jc w:val="center"/>
              <w:rPr>
                <w:rFonts w:ascii="仿宋" w:hAnsi="仿宋" w:eastAsia="宋体" w:cs="Times New Roman"/>
                <w:szCs w:val="21"/>
              </w:rPr>
            </w:pPr>
            <w:r>
              <w:rPr>
                <w:rFonts w:ascii="仿宋" w:hAnsi="仿宋" w:eastAsia="宋体" w:cs="Times New Roman"/>
                <w:szCs w:val="21"/>
              </w:rPr>
              <w:t>10分</w:t>
            </w:r>
          </w:p>
        </w:tc>
        <w:tc>
          <w:tcPr>
            <w:tcW w:w="4253" w:type="dxa"/>
            <w:tcBorders>
              <w:top w:val="single" w:color="auto" w:sz="4" w:space="0"/>
              <w:left w:val="nil"/>
              <w:bottom w:val="single" w:color="auto" w:sz="4" w:space="0"/>
              <w:right w:val="single" w:color="auto" w:sz="4" w:space="0"/>
            </w:tcBorders>
          </w:tcPr>
          <w:p>
            <w:pPr>
              <w:jc w:val="left"/>
              <w:rPr>
                <w:rFonts w:ascii="仿宋" w:hAnsi="仿宋" w:eastAsia="宋体" w:cs="Times New Roman"/>
                <w:szCs w:val="21"/>
              </w:rPr>
            </w:pPr>
            <w:r>
              <w:rPr>
                <w:rFonts w:hint="eastAsia" w:ascii="仿宋" w:hAnsi="仿宋" w:eastAsia="宋体" w:cs="Times New Roman"/>
                <w:szCs w:val="21"/>
              </w:rPr>
              <w:t>供应商提供类似业绩（202</w:t>
            </w:r>
            <w:r>
              <w:rPr>
                <w:rFonts w:ascii="仿宋" w:hAnsi="仿宋" w:eastAsia="宋体" w:cs="Times New Roman"/>
                <w:szCs w:val="21"/>
              </w:rPr>
              <w:t>1</w:t>
            </w:r>
            <w:r>
              <w:rPr>
                <w:rFonts w:hint="eastAsia" w:ascii="仿宋" w:hAnsi="仿宋" w:eastAsia="宋体" w:cs="Times New Roman"/>
                <w:szCs w:val="21"/>
              </w:rPr>
              <w:t>年-至开标日</w:t>
            </w:r>
            <w:r>
              <w:rPr>
                <w:rFonts w:ascii="仿宋" w:hAnsi="仿宋" w:eastAsia="宋体" w:cs="Times New Roman"/>
                <w:szCs w:val="21"/>
              </w:rPr>
              <w:t>）</w:t>
            </w:r>
            <w:r>
              <w:rPr>
                <w:rFonts w:hint="eastAsia" w:ascii="仿宋" w:hAnsi="仿宋" w:eastAsia="宋体" w:cs="Times New Roman"/>
                <w:szCs w:val="21"/>
              </w:rPr>
              <w:t>进行评定,每个业绩得</w:t>
            </w:r>
            <w:r>
              <w:rPr>
                <w:rFonts w:ascii="仿宋" w:hAnsi="仿宋" w:eastAsia="宋体" w:cs="Times New Roman"/>
                <w:szCs w:val="21"/>
              </w:rPr>
              <w:t>5</w:t>
            </w:r>
            <w:r>
              <w:rPr>
                <w:rFonts w:hint="eastAsia" w:ascii="仿宋" w:hAnsi="仿宋" w:eastAsia="宋体" w:cs="Times New Roman"/>
                <w:szCs w:val="21"/>
              </w:rPr>
              <w:t>分，满分</w:t>
            </w:r>
            <w:r>
              <w:rPr>
                <w:rFonts w:ascii="仿宋" w:hAnsi="仿宋" w:eastAsia="宋体" w:cs="Times New Roman"/>
                <w:szCs w:val="21"/>
              </w:rPr>
              <w:t>10</w:t>
            </w:r>
            <w:r>
              <w:rPr>
                <w:rFonts w:hint="eastAsia" w:ascii="仿宋" w:hAnsi="仿宋" w:eastAsia="宋体" w:cs="Times New Roman"/>
                <w:szCs w:val="21"/>
              </w:rPr>
              <w:t>分。</w:t>
            </w:r>
          </w:p>
        </w:tc>
        <w:tc>
          <w:tcPr>
            <w:tcW w:w="1430" w:type="dxa"/>
            <w:tcBorders>
              <w:top w:val="single" w:color="auto" w:sz="4" w:space="0"/>
              <w:left w:val="nil"/>
              <w:bottom w:val="single" w:color="auto" w:sz="4" w:space="0"/>
              <w:right w:val="single" w:color="auto" w:sz="4" w:space="0"/>
            </w:tcBorders>
            <w:vAlign w:val="center"/>
          </w:tcPr>
          <w:p>
            <w:pPr>
              <w:jc w:val="center"/>
              <w:rPr>
                <w:rFonts w:ascii="仿宋" w:hAnsi="仿宋" w:eastAsia="宋体" w:cs="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704"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宋体" w:cs="Times New Roman"/>
                <w:szCs w:val="21"/>
                <w:lang w:val="en-US" w:eastAsia="zh-CN"/>
              </w:rPr>
            </w:pPr>
            <w:r>
              <w:rPr>
                <w:rFonts w:hint="eastAsia" w:ascii="仿宋" w:hAnsi="仿宋" w:cs="Times New Roman"/>
                <w:szCs w:val="21"/>
                <w:lang w:val="en-US" w:eastAsia="zh-CN"/>
              </w:rPr>
              <w:t>合计</w:t>
            </w:r>
          </w:p>
        </w:tc>
        <w:tc>
          <w:tcPr>
            <w:tcW w:w="1276" w:type="dxa"/>
            <w:tcBorders>
              <w:top w:val="single" w:color="auto" w:sz="4" w:space="0"/>
              <w:left w:val="nil"/>
              <w:bottom w:val="single" w:color="auto" w:sz="4" w:space="0"/>
              <w:right w:val="single" w:color="auto" w:sz="4" w:space="0"/>
            </w:tcBorders>
            <w:vAlign w:val="center"/>
          </w:tcPr>
          <w:p>
            <w:pPr>
              <w:jc w:val="center"/>
              <w:rPr>
                <w:rFonts w:hint="eastAsia" w:ascii="仿宋" w:hAnsi="仿宋" w:eastAsia="宋体" w:cs="Times New Roman"/>
                <w:szCs w:val="21"/>
              </w:rPr>
            </w:pPr>
          </w:p>
        </w:tc>
        <w:tc>
          <w:tcPr>
            <w:tcW w:w="850" w:type="dxa"/>
            <w:tcBorders>
              <w:top w:val="single" w:color="auto" w:sz="4" w:space="0"/>
              <w:left w:val="nil"/>
              <w:bottom w:val="single" w:color="auto" w:sz="4" w:space="0"/>
              <w:right w:val="single" w:color="auto" w:sz="4" w:space="0"/>
            </w:tcBorders>
            <w:vAlign w:val="center"/>
          </w:tcPr>
          <w:p>
            <w:pPr>
              <w:jc w:val="center"/>
              <w:rPr>
                <w:rFonts w:hint="default" w:ascii="仿宋" w:hAnsi="仿宋" w:eastAsia="宋体" w:cs="Times New Roman"/>
                <w:szCs w:val="21"/>
                <w:lang w:val="en-US" w:eastAsia="zh-CN"/>
              </w:rPr>
            </w:pPr>
            <w:r>
              <w:rPr>
                <w:rFonts w:hint="eastAsia" w:ascii="仿宋" w:hAnsi="仿宋" w:cs="Times New Roman"/>
                <w:szCs w:val="21"/>
                <w:lang w:val="en-US" w:eastAsia="zh-CN"/>
              </w:rPr>
              <w:t>100分</w:t>
            </w:r>
          </w:p>
        </w:tc>
        <w:tc>
          <w:tcPr>
            <w:tcW w:w="4253" w:type="dxa"/>
            <w:tcBorders>
              <w:top w:val="single" w:color="auto" w:sz="4" w:space="0"/>
              <w:left w:val="nil"/>
              <w:bottom w:val="single" w:color="auto" w:sz="4" w:space="0"/>
              <w:right w:val="single" w:color="auto" w:sz="4" w:space="0"/>
            </w:tcBorders>
          </w:tcPr>
          <w:p>
            <w:pPr>
              <w:jc w:val="left"/>
              <w:rPr>
                <w:rFonts w:hint="eastAsia" w:ascii="仿宋" w:hAnsi="仿宋" w:eastAsia="宋体" w:cs="Times New Roman"/>
                <w:szCs w:val="21"/>
              </w:rPr>
            </w:pPr>
          </w:p>
        </w:tc>
        <w:tc>
          <w:tcPr>
            <w:tcW w:w="1430" w:type="dxa"/>
            <w:tcBorders>
              <w:top w:val="single" w:color="auto" w:sz="4" w:space="0"/>
              <w:left w:val="nil"/>
              <w:bottom w:val="single" w:color="auto" w:sz="4" w:space="0"/>
              <w:right w:val="single" w:color="auto" w:sz="4" w:space="0"/>
            </w:tcBorders>
            <w:vAlign w:val="center"/>
          </w:tcPr>
          <w:p>
            <w:pPr>
              <w:jc w:val="center"/>
              <w:rPr>
                <w:rFonts w:ascii="仿宋" w:hAnsi="仿宋" w:eastAsia="宋体" w:cs="Times New Roman"/>
                <w:szCs w:val="21"/>
              </w:rPr>
            </w:pPr>
          </w:p>
        </w:tc>
      </w:tr>
    </w:tbl>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U0NjE3N2U5Mzk4NDVmYjYzYzQ3N2YzOGVkOWIyMmQifQ=="/>
  </w:docVars>
  <w:rsids>
    <w:rsidRoot w:val="00081ED5"/>
    <w:rsid w:val="00081ED5"/>
    <w:rsid w:val="000F3D98"/>
    <w:rsid w:val="0016754C"/>
    <w:rsid w:val="001B3970"/>
    <w:rsid w:val="00272139"/>
    <w:rsid w:val="0027375F"/>
    <w:rsid w:val="003D2064"/>
    <w:rsid w:val="004366F7"/>
    <w:rsid w:val="004D0785"/>
    <w:rsid w:val="005B0A4F"/>
    <w:rsid w:val="005C6B17"/>
    <w:rsid w:val="005D7D34"/>
    <w:rsid w:val="006539F3"/>
    <w:rsid w:val="006E0959"/>
    <w:rsid w:val="008219A0"/>
    <w:rsid w:val="00825A5F"/>
    <w:rsid w:val="008C29EC"/>
    <w:rsid w:val="00975FA8"/>
    <w:rsid w:val="009A21E8"/>
    <w:rsid w:val="00A440BE"/>
    <w:rsid w:val="00A76E65"/>
    <w:rsid w:val="00AA2E3C"/>
    <w:rsid w:val="00AD6700"/>
    <w:rsid w:val="00B45E22"/>
    <w:rsid w:val="00B65D5A"/>
    <w:rsid w:val="00C25E04"/>
    <w:rsid w:val="00CA6EED"/>
    <w:rsid w:val="00CE0CFA"/>
    <w:rsid w:val="00E00700"/>
    <w:rsid w:val="00E134D2"/>
    <w:rsid w:val="00EC0BB5"/>
    <w:rsid w:val="00FD5933"/>
    <w:rsid w:val="05F01565"/>
    <w:rsid w:val="0F20286F"/>
    <w:rsid w:val="102A2753"/>
    <w:rsid w:val="127759F8"/>
    <w:rsid w:val="18C64422"/>
    <w:rsid w:val="1B2961E1"/>
    <w:rsid w:val="2C882884"/>
    <w:rsid w:val="2CF6217C"/>
    <w:rsid w:val="3B027CA5"/>
    <w:rsid w:val="3D7B3D3F"/>
    <w:rsid w:val="3E2B7513"/>
    <w:rsid w:val="47456219"/>
    <w:rsid w:val="4C690909"/>
    <w:rsid w:val="50B12AF6"/>
    <w:rsid w:val="515A3F3F"/>
    <w:rsid w:val="5B096A3A"/>
    <w:rsid w:val="5FC1162D"/>
    <w:rsid w:val="61764258"/>
    <w:rsid w:val="628401D8"/>
    <w:rsid w:val="69781175"/>
    <w:rsid w:val="6BF67B09"/>
    <w:rsid w:val="6E8053E3"/>
    <w:rsid w:val="6EEB2223"/>
    <w:rsid w:val="7A5E1FC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nhideWhenUsed="0"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Calibri" w:hAnsi="Calibri" w:eastAsia="宋体" w:cs="Times New Roman"/>
      <w:kern w:val="2"/>
      <w:sz w:val="21"/>
      <w:szCs w:val="21"/>
      <w:lang w:val="en-US" w:eastAsia="zh-CN" w:bidi="ar-SA"/>
    </w:rPr>
  </w:style>
  <w:style w:type="paragraph" w:styleId="2">
    <w:name w:val="heading 4"/>
    <w:basedOn w:val="1"/>
    <w:next w:val="1"/>
    <w:qFormat/>
    <w:uiPriority w:val="9"/>
    <w:pPr>
      <w:keepNext/>
      <w:spacing w:before="240" w:after="60"/>
      <w:jc w:val="center"/>
      <w:outlineLvl w:val="3"/>
    </w:pPr>
    <w:rPr>
      <w:b/>
      <w:bCs/>
      <w:sz w:val="28"/>
      <w:szCs w:val="28"/>
    </w:rPr>
  </w:style>
  <w:style w:type="character" w:default="1" w:styleId="8">
    <w:name w:val="Default Paragraph Font"/>
    <w:semiHidden/>
    <w:unhideWhenUsed/>
    <w:qFormat/>
    <w:uiPriority w:val="1"/>
  </w:style>
  <w:style w:type="table" w:default="1" w:styleId="7">
    <w:name w:val="Normal Table"/>
    <w:autoRedefine/>
    <w:semiHidden/>
    <w:unhideWhenUsed/>
    <w:qFormat/>
    <w:uiPriority w:val="99"/>
    <w:tblPr>
      <w:tblCellMar>
        <w:top w:w="0" w:type="dxa"/>
        <w:left w:w="108" w:type="dxa"/>
        <w:bottom w:w="0" w:type="dxa"/>
        <w:right w:w="108" w:type="dxa"/>
      </w:tblCellMar>
    </w:tblPr>
  </w:style>
  <w:style w:type="paragraph" w:styleId="3">
    <w:name w:val="Body Text"/>
    <w:basedOn w:val="1"/>
    <w:next w:val="1"/>
    <w:autoRedefine/>
    <w:qFormat/>
    <w:uiPriority w:val="0"/>
    <w:pPr>
      <w:spacing w:after="120"/>
    </w:pPr>
  </w:style>
  <w:style w:type="paragraph" w:styleId="4">
    <w:name w:val="Balloon Text"/>
    <w:basedOn w:val="1"/>
    <w:link w:val="10"/>
    <w:autoRedefine/>
    <w:semiHidden/>
    <w:unhideWhenUsed/>
    <w:qFormat/>
    <w:uiPriority w:val="99"/>
    <w:rPr>
      <w:sz w:val="18"/>
      <w:szCs w:val="18"/>
    </w:rPr>
  </w:style>
  <w:style w:type="paragraph" w:styleId="5">
    <w:name w:val="footer"/>
    <w:basedOn w:val="1"/>
    <w:link w:val="12"/>
    <w:autoRedefine/>
    <w:unhideWhenUsed/>
    <w:qFormat/>
    <w:uiPriority w:val="99"/>
    <w:pPr>
      <w:tabs>
        <w:tab w:val="center" w:pos="4153"/>
        <w:tab w:val="right" w:pos="8306"/>
      </w:tabs>
      <w:snapToGrid w:val="0"/>
      <w:jc w:val="left"/>
    </w:pPr>
    <w:rPr>
      <w:sz w:val="18"/>
      <w:szCs w:val="18"/>
    </w:rPr>
  </w:style>
  <w:style w:type="paragraph" w:styleId="6">
    <w:name w:val="header"/>
    <w:basedOn w:val="1"/>
    <w:link w:val="11"/>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customStyle="1" w:styleId="9">
    <w:name w:val="UserStyle_23"/>
    <w:basedOn w:val="1"/>
    <w:autoRedefine/>
    <w:qFormat/>
    <w:uiPriority w:val="0"/>
    <w:pPr>
      <w:widowControl/>
      <w:jc w:val="left"/>
      <w:textAlignment w:val="baseline"/>
    </w:pPr>
    <w:rPr>
      <w:rFonts w:ascii="宋体" w:hAnsi="Times New Roman"/>
      <w:color w:val="000000"/>
      <w:kern w:val="0"/>
      <w:sz w:val="24"/>
      <w:szCs w:val="24"/>
    </w:rPr>
  </w:style>
  <w:style w:type="character" w:customStyle="1" w:styleId="10">
    <w:name w:val="批注框文本 字符"/>
    <w:basedOn w:val="8"/>
    <w:link w:val="4"/>
    <w:autoRedefine/>
    <w:semiHidden/>
    <w:qFormat/>
    <w:uiPriority w:val="99"/>
    <w:rPr>
      <w:rFonts w:ascii="Calibri" w:hAnsi="Calibri" w:eastAsia="宋体" w:cs="Times New Roman"/>
      <w:kern w:val="2"/>
      <w:sz w:val="18"/>
      <w:szCs w:val="18"/>
    </w:rPr>
  </w:style>
  <w:style w:type="character" w:customStyle="1" w:styleId="11">
    <w:name w:val="页眉 字符"/>
    <w:basedOn w:val="8"/>
    <w:link w:val="6"/>
    <w:autoRedefine/>
    <w:qFormat/>
    <w:uiPriority w:val="99"/>
    <w:rPr>
      <w:rFonts w:ascii="Calibri" w:hAnsi="Calibri"/>
      <w:kern w:val="2"/>
      <w:sz w:val="18"/>
      <w:szCs w:val="18"/>
    </w:rPr>
  </w:style>
  <w:style w:type="character" w:customStyle="1" w:styleId="12">
    <w:name w:val="页脚 字符"/>
    <w:basedOn w:val="8"/>
    <w:link w:val="5"/>
    <w:autoRedefine/>
    <w:qFormat/>
    <w:uiPriority w:val="99"/>
    <w:rPr>
      <w:rFonts w:ascii="Calibri" w:hAnsi="Calibri"/>
      <w:kern w:val="2"/>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微软中国</Company>
  <Pages>1</Pages>
  <Words>58</Words>
  <Characters>333</Characters>
  <Lines>2</Lines>
  <Paragraphs>1</Paragraphs>
  <TotalTime>0</TotalTime>
  <ScaleCrop>false</ScaleCrop>
  <LinksUpToDate>false</LinksUpToDate>
  <CharactersWithSpaces>390</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2021-09-03T08:35:00Z</dcterms:created>
  <dc:creator>SKYFREE</dc:creator>
  <cp:lastModifiedBy>市五院王定超</cp:lastModifiedBy>
  <cp:lastPrinted>2024-02-04T06:49:00Z</cp:lastPrinted>
  <dcterms:modified xsi:type="dcterms:W3CDTF">2024-04-22T12:50:54Z</dcterms:modified>
  <cp:revision>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4E8D887BC64646AB9B981B8BE0F50E8A_13</vt:lpwstr>
  </property>
</Properties>
</file>