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0DE" w:rsidRPr="00CA0652" w:rsidRDefault="006830DE" w:rsidP="005244F7">
      <w:pPr>
        <w:pStyle w:val="TOC"/>
        <w:jc w:val="center"/>
        <w:rPr>
          <w:rFonts w:ascii="仿宋" w:eastAsia="仿宋" w:hAnsi="仿宋"/>
          <w:b/>
        </w:rPr>
      </w:pPr>
    </w:p>
    <w:p w:rsidR="006830DE" w:rsidRPr="00CA0652" w:rsidRDefault="00C16575">
      <w:pPr>
        <w:jc w:val="center"/>
        <w:rPr>
          <w:rFonts w:ascii="仿宋" w:eastAsia="仿宋" w:hAnsi="仿宋"/>
          <w:b/>
          <w:sz w:val="32"/>
          <w:szCs w:val="32"/>
        </w:rPr>
      </w:pPr>
      <w:r w:rsidRPr="00CA0652">
        <w:rPr>
          <w:rFonts w:ascii="仿宋" w:eastAsia="仿宋" w:hAnsi="仿宋" w:hint="eastAsia"/>
          <w:b/>
          <w:sz w:val="32"/>
          <w:szCs w:val="32"/>
        </w:rPr>
        <w:t>成都市第五人民医院</w:t>
      </w:r>
    </w:p>
    <w:p w:rsidR="006830DE" w:rsidRPr="00CA0652" w:rsidRDefault="001C3F7B">
      <w:pPr>
        <w:jc w:val="center"/>
        <w:rPr>
          <w:rFonts w:ascii="仿宋" w:eastAsia="仿宋" w:hAnsi="仿宋"/>
          <w:b/>
          <w:sz w:val="32"/>
          <w:szCs w:val="32"/>
        </w:rPr>
      </w:pPr>
      <w:r w:rsidRPr="00CA0652">
        <w:rPr>
          <w:rFonts w:ascii="仿宋" w:eastAsia="仿宋" w:hAnsi="仿宋" w:hint="eastAsia"/>
          <w:b/>
          <w:sz w:val="32"/>
          <w:szCs w:val="32"/>
        </w:rPr>
        <w:t>核心网络</w:t>
      </w:r>
      <w:r w:rsidR="0044762A">
        <w:rPr>
          <w:rFonts w:ascii="仿宋" w:eastAsia="仿宋" w:hAnsi="仿宋" w:hint="eastAsia"/>
          <w:b/>
          <w:sz w:val="32"/>
          <w:szCs w:val="32"/>
        </w:rPr>
        <w:t>交换机</w:t>
      </w:r>
      <w:r w:rsidRPr="00CA0652">
        <w:rPr>
          <w:rFonts w:ascii="仿宋" w:eastAsia="仿宋" w:hAnsi="仿宋" w:hint="eastAsia"/>
          <w:b/>
          <w:sz w:val="32"/>
          <w:szCs w:val="32"/>
        </w:rPr>
        <w:t>升级改造</w:t>
      </w:r>
      <w:r w:rsidR="00C16575" w:rsidRPr="00CA0652">
        <w:rPr>
          <w:rFonts w:ascii="仿宋" w:eastAsia="仿宋" w:hAnsi="仿宋" w:hint="eastAsia"/>
          <w:b/>
          <w:sz w:val="32"/>
          <w:szCs w:val="32"/>
        </w:rPr>
        <w:t>项目</w:t>
      </w:r>
      <w:r w:rsidR="005244F7">
        <w:rPr>
          <w:rFonts w:ascii="仿宋" w:eastAsia="仿宋" w:hAnsi="仿宋" w:hint="eastAsia"/>
          <w:b/>
          <w:sz w:val="32"/>
          <w:szCs w:val="32"/>
        </w:rPr>
        <w:t>市场调研参数</w:t>
      </w:r>
    </w:p>
    <w:p w:rsidR="005244F7" w:rsidRPr="005244F7" w:rsidRDefault="005244F7" w:rsidP="005244F7">
      <w:pPr>
        <w:pStyle w:val="1"/>
        <w:numPr>
          <w:ilvl w:val="0"/>
          <w:numId w:val="19"/>
        </w:numPr>
        <w:rPr>
          <w:rFonts w:ascii="仿宋" w:eastAsia="仿宋" w:hAnsi="仿宋"/>
          <w:sz w:val="28"/>
          <w:szCs w:val="28"/>
        </w:rPr>
      </w:pPr>
      <w:bookmarkStart w:id="0" w:name="_Toc2260783"/>
      <w:bookmarkStart w:id="1" w:name="_Toc82435140"/>
      <w:r w:rsidRPr="005244F7">
        <w:rPr>
          <w:rFonts w:ascii="仿宋" w:eastAsia="仿宋" w:hAnsi="仿宋" w:hint="eastAsia"/>
          <w:sz w:val="28"/>
          <w:szCs w:val="28"/>
        </w:rPr>
        <w:t>核心网络</w:t>
      </w:r>
      <w:r w:rsidR="0044762A">
        <w:rPr>
          <w:rFonts w:ascii="仿宋" w:eastAsia="仿宋" w:hAnsi="仿宋" w:hint="eastAsia"/>
          <w:sz w:val="28"/>
          <w:szCs w:val="28"/>
        </w:rPr>
        <w:t>交换机</w:t>
      </w:r>
      <w:r w:rsidRPr="005244F7">
        <w:rPr>
          <w:rFonts w:ascii="仿宋" w:eastAsia="仿宋" w:hAnsi="仿宋" w:hint="eastAsia"/>
          <w:sz w:val="28"/>
          <w:szCs w:val="28"/>
        </w:rPr>
        <w:t>升级改造项目背景</w:t>
      </w:r>
      <w:bookmarkStart w:id="2" w:name="_Toc2260784"/>
      <w:bookmarkEnd w:id="0"/>
      <w:bookmarkEnd w:id="1"/>
    </w:p>
    <w:p w:rsidR="005244F7" w:rsidRPr="00CA0652" w:rsidRDefault="005244F7" w:rsidP="002C6CC0">
      <w:pPr>
        <w:ind w:firstLineChars="200" w:firstLine="560"/>
        <w:rPr>
          <w:rFonts w:ascii="仿宋" w:eastAsia="仿宋" w:hAnsi="仿宋"/>
          <w:sz w:val="28"/>
          <w:szCs w:val="28"/>
        </w:rPr>
      </w:pPr>
      <w:r w:rsidRPr="00CA0652">
        <w:rPr>
          <w:rFonts w:ascii="仿宋" w:eastAsia="仿宋" w:hAnsi="仿宋" w:hint="eastAsia"/>
          <w:sz w:val="28"/>
          <w:szCs w:val="28"/>
        </w:rPr>
        <w:t>医院现有的核心交换机为思科C6509E交换机，该交换机已使用接近十年时间，其设备的性能和扩展性即不符合《全国医院信息化建设标准与规范》中要求的核心交换机交换容量不得低于25Tbps，包转发率不得低于2200Mpps的基本要求，也不能满足医院内网现有2750个信息点位（含1500个信息终端点位、300个自助设备点位、300个哑终端&amp;信息发布点位和650个无线点位）的链路接入要求，本次计划对核心网络进行升级改造以满足医院业务增长需要。</w:t>
      </w:r>
    </w:p>
    <w:p w:rsidR="00E215CA" w:rsidRPr="00CA0652" w:rsidRDefault="005244F7" w:rsidP="00C41E3B">
      <w:pPr>
        <w:pStyle w:val="2"/>
        <w:rPr>
          <w:rFonts w:ascii="仿宋" w:eastAsia="仿宋" w:hAnsi="仿宋"/>
          <w:color w:val="000000"/>
          <w:sz w:val="28"/>
          <w:szCs w:val="28"/>
        </w:rPr>
      </w:pPr>
      <w:bookmarkStart w:id="3" w:name="_Toc82435144"/>
      <w:bookmarkEnd w:id="2"/>
      <w:r>
        <w:rPr>
          <w:rFonts w:ascii="仿宋" w:eastAsia="仿宋" w:hAnsi="仿宋" w:hint="eastAsia"/>
        </w:rPr>
        <w:t>二</w:t>
      </w:r>
      <w:r w:rsidRPr="00CA0652">
        <w:rPr>
          <w:rFonts w:ascii="仿宋" w:eastAsia="仿宋" w:hAnsi="仿宋" w:hint="eastAsia"/>
        </w:rPr>
        <w:t>、核心网络</w:t>
      </w:r>
      <w:r w:rsidR="0044762A">
        <w:rPr>
          <w:rFonts w:ascii="仿宋" w:eastAsia="仿宋" w:hAnsi="仿宋" w:hint="eastAsia"/>
        </w:rPr>
        <w:t>交换机</w:t>
      </w:r>
      <w:r w:rsidRPr="00CA0652">
        <w:rPr>
          <w:rFonts w:ascii="仿宋" w:eastAsia="仿宋" w:hAnsi="仿宋" w:hint="eastAsia"/>
        </w:rPr>
        <w:t>升级设计方案</w:t>
      </w:r>
      <w:bookmarkEnd w:id="3"/>
    </w:p>
    <w:p w:rsidR="00A16B76" w:rsidRPr="00CA0652" w:rsidRDefault="00A16B76" w:rsidP="00A16B76">
      <w:pPr>
        <w:ind w:firstLineChars="200" w:firstLine="560"/>
        <w:rPr>
          <w:rFonts w:ascii="仿宋" w:eastAsia="仿宋" w:hAnsi="仿宋"/>
          <w:sz w:val="28"/>
          <w:szCs w:val="28"/>
        </w:rPr>
      </w:pPr>
      <w:r w:rsidRPr="00CA0652">
        <w:rPr>
          <w:rFonts w:ascii="仿宋" w:eastAsia="仿宋" w:hAnsi="仿宋" w:hint="eastAsia"/>
          <w:sz w:val="28"/>
          <w:szCs w:val="28"/>
        </w:rPr>
        <w:t>本次新增的核心交换机，在性能方面按三倍高于《全国医院信息化建设标准与规范》基本性能要求进行选型，以保证医院未来新增的如视频会议，远程M</w:t>
      </w:r>
      <w:r w:rsidRPr="00CA0652">
        <w:rPr>
          <w:rFonts w:ascii="仿宋" w:eastAsia="仿宋" w:hAnsi="仿宋"/>
          <w:sz w:val="28"/>
          <w:szCs w:val="28"/>
        </w:rPr>
        <w:t>DT</w:t>
      </w:r>
      <w:r w:rsidRPr="00CA0652">
        <w:rPr>
          <w:rFonts w:ascii="仿宋" w:eastAsia="仿宋" w:hAnsi="仿宋" w:hint="eastAsia"/>
          <w:sz w:val="28"/>
          <w:szCs w:val="28"/>
        </w:rPr>
        <w:t>等高带宽业务的需要。在架构上将符合《全国医院信息化建设标准与规范》中规定的四项</w:t>
      </w:r>
      <w:r w:rsidRPr="00CA0652">
        <w:rPr>
          <w:rFonts w:ascii="仿宋" w:eastAsia="仿宋" w:hAnsi="仿宋"/>
          <w:sz w:val="28"/>
          <w:szCs w:val="28"/>
        </w:rPr>
        <w:t>技术</w:t>
      </w:r>
      <w:r w:rsidRPr="00CA0652">
        <w:rPr>
          <w:rFonts w:ascii="仿宋" w:eastAsia="仿宋" w:hAnsi="仿宋" w:hint="eastAsia"/>
          <w:sz w:val="28"/>
          <w:szCs w:val="28"/>
        </w:rPr>
        <w:t>要求。</w:t>
      </w:r>
    </w:p>
    <w:p w:rsidR="00A16B76" w:rsidRPr="00CA0652" w:rsidRDefault="00A16B76" w:rsidP="00A16B76">
      <w:pPr>
        <w:ind w:firstLineChars="200" w:firstLine="560"/>
        <w:rPr>
          <w:rFonts w:ascii="仿宋" w:eastAsia="仿宋" w:hAnsi="仿宋"/>
          <w:sz w:val="28"/>
          <w:szCs w:val="28"/>
        </w:rPr>
      </w:pPr>
      <w:r w:rsidRPr="00CA0652">
        <w:rPr>
          <w:rFonts w:ascii="仿宋" w:eastAsia="仿宋" w:hAnsi="仿宋" w:hint="eastAsia"/>
          <w:sz w:val="28"/>
          <w:szCs w:val="28"/>
        </w:rPr>
        <w:t xml:space="preserve">① </w:t>
      </w:r>
      <w:r w:rsidRPr="00CA0652">
        <w:rPr>
          <w:rFonts w:ascii="仿宋" w:eastAsia="仿宋" w:hAnsi="仿宋"/>
          <w:sz w:val="28"/>
          <w:szCs w:val="28"/>
        </w:rPr>
        <w:t>主控引擎模块、电源模块、风扇等具备冗余，业务板卡支持热插拔。</w:t>
      </w:r>
    </w:p>
    <w:p w:rsidR="00A16B76" w:rsidRPr="00CA0652" w:rsidRDefault="00A16B76" w:rsidP="00A16B76">
      <w:pPr>
        <w:ind w:firstLineChars="200" w:firstLine="560"/>
        <w:rPr>
          <w:rFonts w:ascii="仿宋" w:eastAsia="仿宋" w:hAnsi="仿宋"/>
          <w:sz w:val="28"/>
          <w:szCs w:val="28"/>
        </w:rPr>
      </w:pPr>
      <w:r w:rsidRPr="00CA0652">
        <w:rPr>
          <w:rFonts w:ascii="仿宋" w:eastAsia="仿宋" w:hAnsi="仿宋" w:hint="eastAsia"/>
          <w:sz w:val="28"/>
          <w:szCs w:val="28"/>
        </w:rPr>
        <w:t>②</w:t>
      </w:r>
      <w:r w:rsidRPr="00CA0652">
        <w:rPr>
          <w:rFonts w:ascii="仿宋" w:eastAsia="仿宋" w:hAnsi="仿宋"/>
          <w:sz w:val="28"/>
          <w:szCs w:val="28"/>
        </w:rPr>
        <w:t xml:space="preserve"> 支持千兆光电网口和万兆光电网口。</w:t>
      </w:r>
    </w:p>
    <w:p w:rsidR="00A16B76" w:rsidRPr="00CA0652" w:rsidRDefault="00A16B76" w:rsidP="00A16B76">
      <w:pPr>
        <w:ind w:firstLineChars="200" w:firstLine="560"/>
        <w:rPr>
          <w:rFonts w:ascii="仿宋" w:eastAsia="仿宋" w:hAnsi="仿宋"/>
          <w:sz w:val="28"/>
          <w:szCs w:val="28"/>
        </w:rPr>
      </w:pPr>
      <w:r w:rsidRPr="00CA0652">
        <w:rPr>
          <w:rFonts w:ascii="仿宋" w:eastAsia="仿宋" w:hAnsi="仿宋" w:hint="eastAsia"/>
          <w:sz w:val="28"/>
          <w:szCs w:val="28"/>
        </w:rPr>
        <w:t>③</w:t>
      </w:r>
      <w:r w:rsidRPr="00CA0652">
        <w:rPr>
          <w:rFonts w:ascii="仿宋" w:eastAsia="仿宋" w:hAnsi="仿宋"/>
          <w:sz w:val="28"/>
          <w:szCs w:val="28"/>
        </w:rPr>
        <w:t xml:space="preserve"> 支持主流转发模式、堆叠技术、隧道及加密技术等。</w:t>
      </w:r>
    </w:p>
    <w:p w:rsidR="00A16B76" w:rsidRPr="00CA0652" w:rsidRDefault="00A16B76" w:rsidP="00A16B76">
      <w:pPr>
        <w:ind w:firstLineChars="200" w:firstLine="560"/>
        <w:rPr>
          <w:rFonts w:ascii="仿宋" w:eastAsia="仿宋" w:hAnsi="仿宋"/>
          <w:sz w:val="28"/>
          <w:szCs w:val="28"/>
        </w:rPr>
      </w:pPr>
      <w:r w:rsidRPr="00CA0652">
        <w:rPr>
          <w:rFonts w:ascii="仿宋" w:eastAsia="仿宋" w:hAnsi="仿宋" w:hint="eastAsia"/>
          <w:sz w:val="28"/>
          <w:szCs w:val="28"/>
        </w:rPr>
        <w:lastRenderedPageBreak/>
        <w:t>④</w:t>
      </w:r>
      <w:r w:rsidRPr="00CA0652">
        <w:rPr>
          <w:rFonts w:ascii="仿宋" w:eastAsia="仿宋" w:hAnsi="仿宋"/>
          <w:sz w:val="28"/>
          <w:szCs w:val="28"/>
        </w:rPr>
        <w:t xml:space="preserve"> 支持主流的二、三层网络协议，安全加密传输</w:t>
      </w:r>
      <w:r w:rsidRPr="00CA0652">
        <w:rPr>
          <w:rFonts w:ascii="仿宋" w:eastAsia="仿宋" w:hAnsi="仿宋" w:hint="eastAsia"/>
          <w:sz w:val="28"/>
          <w:szCs w:val="28"/>
        </w:rPr>
        <w:t>。</w:t>
      </w:r>
    </w:p>
    <w:p w:rsidR="00A16B76" w:rsidRPr="00CA0652" w:rsidRDefault="00A16B76" w:rsidP="00A16B76">
      <w:pPr>
        <w:ind w:firstLineChars="200" w:firstLine="560"/>
        <w:rPr>
          <w:rFonts w:ascii="仿宋" w:eastAsia="仿宋" w:hAnsi="仿宋"/>
          <w:sz w:val="28"/>
          <w:szCs w:val="28"/>
        </w:rPr>
      </w:pPr>
      <w:r w:rsidRPr="00CA0652">
        <w:rPr>
          <w:rFonts w:ascii="仿宋" w:eastAsia="仿宋" w:hAnsi="仿宋" w:hint="eastAsia"/>
          <w:sz w:val="28"/>
          <w:szCs w:val="28"/>
        </w:rPr>
        <w:t>在端口方面配置4</w:t>
      </w:r>
      <w:r w:rsidRPr="00CA0652">
        <w:rPr>
          <w:rFonts w:ascii="仿宋" w:eastAsia="仿宋" w:hAnsi="仿宋"/>
          <w:sz w:val="28"/>
          <w:szCs w:val="28"/>
        </w:rPr>
        <w:t>8</w:t>
      </w:r>
      <w:r w:rsidRPr="00CA0652">
        <w:rPr>
          <w:rFonts w:ascii="仿宋" w:eastAsia="仿宋" w:hAnsi="仿宋" w:hint="eastAsia"/>
          <w:sz w:val="28"/>
          <w:szCs w:val="28"/>
        </w:rPr>
        <w:t>个千兆电口和9</w:t>
      </w:r>
      <w:r w:rsidRPr="00CA0652">
        <w:rPr>
          <w:rFonts w:ascii="仿宋" w:eastAsia="仿宋" w:hAnsi="仿宋"/>
          <w:sz w:val="28"/>
          <w:szCs w:val="28"/>
        </w:rPr>
        <w:t>6</w:t>
      </w:r>
      <w:r w:rsidRPr="00CA0652">
        <w:rPr>
          <w:rFonts w:ascii="仿宋" w:eastAsia="仿宋" w:hAnsi="仿宋" w:hint="eastAsia"/>
          <w:sz w:val="28"/>
          <w:szCs w:val="28"/>
        </w:rPr>
        <w:t>个万兆光口以满足现有内网各汇聚节点和数据中心的接入需要，同时核心交换机至少预留</w:t>
      </w:r>
      <w:r w:rsidRPr="00CA0652">
        <w:rPr>
          <w:rFonts w:ascii="仿宋" w:eastAsia="仿宋" w:hAnsi="仿宋"/>
          <w:sz w:val="28"/>
          <w:szCs w:val="28"/>
        </w:rPr>
        <w:t>4-5</w:t>
      </w:r>
      <w:r w:rsidRPr="00CA0652">
        <w:rPr>
          <w:rFonts w:ascii="仿宋" w:eastAsia="仿宋" w:hAnsi="仿宋" w:hint="eastAsia"/>
          <w:sz w:val="28"/>
          <w:szCs w:val="28"/>
        </w:rPr>
        <w:t>个空业务插槽供未来升级所需。</w:t>
      </w:r>
    </w:p>
    <w:p w:rsidR="00B0105E" w:rsidRPr="00CA0652" w:rsidRDefault="00B0105E" w:rsidP="00B0105E">
      <w:pPr>
        <w:rPr>
          <w:rFonts w:ascii="仿宋" w:eastAsia="仿宋" w:hAnsi="仿宋"/>
        </w:rPr>
      </w:pPr>
    </w:p>
    <w:p w:rsidR="00E215CA" w:rsidRPr="00CA0652" w:rsidRDefault="007B5A30" w:rsidP="005244F7">
      <w:pPr>
        <w:pStyle w:val="1"/>
        <w:numPr>
          <w:ilvl w:val="0"/>
          <w:numId w:val="20"/>
        </w:numPr>
        <w:rPr>
          <w:rFonts w:ascii="仿宋" w:eastAsia="仿宋" w:hAnsi="仿宋"/>
          <w:b w:val="0"/>
          <w:sz w:val="32"/>
          <w:szCs w:val="32"/>
        </w:rPr>
      </w:pPr>
      <w:bookmarkStart w:id="4" w:name="_Toc82435149"/>
      <w:r>
        <w:rPr>
          <w:rFonts w:ascii="仿宋" w:eastAsia="仿宋" w:hAnsi="仿宋" w:hint="eastAsia"/>
          <w:b w:val="0"/>
          <w:sz w:val="32"/>
          <w:szCs w:val="32"/>
        </w:rPr>
        <w:t>核心网络</w:t>
      </w:r>
      <w:r w:rsidR="0044762A">
        <w:rPr>
          <w:rFonts w:ascii="仿宋" w:eastAsia="仿宋" w:hAnsi="仿宋" w:hint="eastAsia"/>
          <w:b w:val="0"/>
          <w:sz w:val="32"/>
          <w:szCs w:val="32"/>
        </w:rPr>
        <w:t>交换机</w:t>
      </w:r>
      <w:r>
        <w:rPr>
          <w:rFonts w:ascii="仿宋" w:eastAsia="仿宋" w:hAnsi="仿宋" w:hint="eastAsia"/>
          <w:b w:val="0"/>
          <w:sz w:val="32"/>
          <w:szCs w:val="32"/>
        </w:rPr>
        <w:t>升级改造</w:t>
      </w:r>
      <w:r w:rsidRPr="00CA0652">
        <w:rPr>
          <w:rFonts w:ascii="仿宋" w:eastAsia="仿宋" w:hAnsi="仿宋" w:hint="eastAsia"/>
          <w:b w:val="0"/>
          <w:sz w:val="32"/>
          <w:szCs w:val="32"/>
        </w:rPr>
        <w:t>主要技术要求</w:t>
      </w:r>
      <w:bookmarkEnd w:id="4"/>
    </w:p>
    <w:tbl>
      <w:tblPr>
        <w:tblW w:w="8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1140"/>
        <w:gridCol w:w="6092"/>
        <w:gridCol w:w="560"/>
        <w:gridCol w:w="560"/>
      </w:tblGrid>
      <w:tr w:rsidR="00CA0652" w:rsidRPr="00CA0652" w:rsidTr="008771E0">
        <w:trPr>
          <w:trHeight w:val="278"/>
        </w:trPr>
        <w:tc>
          <w:tcPr>
            <w:tcW w:w="560" w:type="dxa"/>
            <w:shd w:val="clear" w:color="auto" w:fill="auto"/>
            <w:noWrap/>
            <w:hideMark/>
          </w:tcPr>
          <w:p w:rsidR="00CA0652" w:rsidRPr="00CA0652" w:rsidRDefault="00CA0652" w:rsidP="008771E0">
            <w:pPr>
              <w:widowControl/>
              <w:jc w:val="center"/>
              <w:rPr>
                <w:rFonts w:ascii="仿宋" w:eastAsia="仿宋" w:hAnsi="仿宋" w:cs="宋体"/>
                <w:color w:val="000000"/>
                <w:kern w:val="0"/>
                <w:sz w:val="22"/>
              </w:rPr>
            </w:pPr>
            <w:r w:rsidRPr="00CA0652">
              <w:rPr>
                <w:rFonts w:ascii="仿宋" w:eastAsia="仿宋" w:hAnsi="仿宋" w:cs="宋体" w:hint="eastAsia"/>
                <w:color w:val="000000"/>
                <w:kern w:val="0"/>
                <w:sz w:val="22"/>
              </w:rPr>
              <w:t>序号</w:t>
            </w:r>
          </w:p>
        </w:tc>
        <w:tc>
          <w:tcPr>
            <w:tcW w:w="1140" w:type="dxa"/>
            <w:shd w:val="clear" w:color="auto" w:fill="auto"/>
            <w:noWrap/>
            <w:hideMark/>
          </w:tcPr>
          <w:p w:rsidR="00CA0652" w:rsidRPr="00CA0652" w:rsidRDefault="00CA0652" w:rsidP="008771E0">
            <w:pPr>
              <w:widowControl/>
              <w:jc w:val="center"/>
              <w:rPr>
                <w:rFonts w:ascii="仿宋" w:eastAsia="仿宋" w:hAnsi="仿宋" w:cs="宋体"/>
                <w:color w:val="000000"/>
                <w:kern w:val="0"/>
                <w:sz w:val="22"/>
              </w:rPr>
            </w:pPr>
            <w:r w:rsidRPr="00CA0652">
              <w:rPr>
                <w:rFonts w:ascii="仿宋" w:eastAsia="仿宋" w:hAnsi="仿宋" w:cs="宋体" w:hint="eastAsia"/>
                <w:color w:val="000000"/>
                <w:kern w:val="0"/>
                <w:sz w:val="22"/>
              </w:rPr>
              <w:t>产品名称</w:t>
            </w:r>
          </w:p>
        </w:tc>
        <w:tc>
          <w:tcPr>
            <w:tcW w:w="6092" w:type="dxa"/>
            <w:shd w:val="clear" w:color="auto" w:fill="auto"/>
            <w:noWrap/>
            <w:hideMark/>
          </w:tcPr>
          <w:p w:rsidR="00CA0652" w:rsidRPr="00CA0652" w:rsidRDefault="00CA0652" w:rsidP="008771E0">
            <w:pPr>
              <w:widowControl/>
              <w:jc w:val="center"/>
              <w:rPr>
                <w:rFonts w:ascii="仿宋" w:eastAsia="仿宋" w:hAnsi="仿宋" w:cs="宋体"/>
                <w:color w:val="000000"/>
                <w:kern w:val="0"/>
                <w:sz w:val="22"/>
              </w:rPr>
            </w:pPr>
            <w:r w:rsidRPr="00CA0652">
              <w:rPr>
                <w:rFonts w:ascii="仿宋" w:eastAsia="仿宋" w:hAnsi="仿宋" w:cs="宋体" w:hint="eastAsia"/>
                <w:color w:val="000000"/>
                <w:kern w:val="0"/>
                <w:sz w:val="22"/>
              </w:rPr>
              <w:t>参数</w:t>
            </w:r>
          </w:p>
        </w:tc>
        <w:tc>
          <w:tcPr>
            <w:tcW w:w="560" w:type="dxa"/>
            <w:shd w:val="clear" w:color="auto" w:fill="auto"/>
            <w:noWrap/>
            <w:hideMark/>
          </w:tcPr>
          <w:p w:rsidR="00CA0652" w:rsidRPr="00CA0652" w:rsidRDefault="00CA0652" w:rsidP="008771E0">
            <w:pPr>
              <w:widowControl/>
              <w:jc w:val="center"/>
              <w:rPr>
                <w:rFonts w:ascii="仿宋" w:eastAsia="仿宋" w:hAnsi="仿宋" w:cs="宋体"/>
                <w:color w:val="000000"/>
                <w:kern w:val="0"/>
                <w:sz w:val="22"/>
              </w:rPr>
            </w:pPr>
            <w:r w:rsidRPr="00CA0652">
              <w:rPr>
                <w:rFonts w:ascii="仿宋" w:eastAsia="仿宋" w:hAnsi="仿宋" w:cs="宋体" w:hint="eastAsia"/>
                <w:color w:val="000000"/>
                <w:kern w:val="0"/>
                <w:sz w:val="22"/>
              </w:rPr>
              <w:t>数量</w:t>
            </w:r>
          </w:p>
        </w:tc>
        <w:tc>
          <w:tcPr>
            <w:tcW w:w="560" w:type="dxa"/>
            <w:shd w:val="clear" w:color="auto" w:fill="auto"/>
            <w:noWrap/>
            <w:hideMark/>
          </w:tcPr>
          <w:p w:rsidR="00CA0652" w:rsidRPr="00CA0652" w:rsidRDefault="00CA0652" w:rsidP="008771E0">
            <w:pPr>
              <w:widowControl/>
              <w:jc w:val="center"/>
              <w:rPr>
                <w:rFonts w:ascii="仿宋" w:eastAsia="仿宋" w:hAnsi="仿宋" w:cs="宋体"/>
                <w:color w:val="000000"/>
                <w:kern w:val="0"/>
                <w:sz w:val="22"/>
              </w:rPr>
            </w:pPr>
            <w:r w:rsidRPr="00CA0652">
              <w:rPr>
                <w:rFonts w:ascii="仿宋" w:eastAsia="仿宋" w:hAnsi="仿宋" w:cs="宋体" w:hint="eastAsia"/>
                <w:color w:val="000000"/>
                <w:kern w:val="0"/>
                <w:sz w:val="22"/>
              </w:rPr>
              <w:t>单位</w:t>
            </w:r>
          </w:p>
        </w:tc>
      </w:tr>
      <w:tr w:rsidR="00CA0652" w:rsidRPr="00CA0652" w:rsidTr="008771E0">
        <w:trPr>
          <w:trHeight w:val="3534"/>
        </w:trPr>
        <w:tc>
          <w:tcPr>
            <w:tcW w:w="560" w:type="dxa"/>
            <w:shd w:val="clear" w:color="auto" w:fill="auto"/>
            <w:noWrap/>
            <w:hideMark/>
          </w:tcPr>
          <w:p w:rsidR="00CA0652" w:rsidRPr="00CA0652" w:rsidRDefault="00CA0652" w:rsidP="008771E0">
            <w:pPr>
              <w:widowControl/>
              <w:jc w:val="left"/>
              <w:rPr>
                <w:rFonts w:ascii="仿宋" w:eastAsia="仿宋" w:hAnsi="仿宋" w:cs="宋体"/>
                <w:color w:val="000000"/>
                <w:kern w:val="0"/>
                <w:sz w:val="22"/>
              </w:rPr>
            </w:pPr>
            <w:r w:rsidRPr="00CA0652">
              <w:rPr>
                <w:rFonts w:ascii="仿宋" w:eastAsia="仿宋" w:hAnsi="仿宋" w:cs="宋体" w:hint="eastAsia"/>
                <w:color w:val="000000"/>
                <w:kern w:val="0"/>
                <w:sz w:val="22"/>
              </w:rPr>
              <w:t>1</w:t>
            </w:r>
          </w:p>
        </w:tc>
        <w:tc>
          <w:tcPr>
            <w:tcW w:w="1140" w:type="dxa"/>
            <w:shd w:val="clear" w:color="auto" w:fill="auto"/>
            <w:noWrap/>
            <w:hideMark/>
          </w:tcPr>
          <w:p w:rsidR="00CA0652" w:rsidRPr="00CA0652" w:rsidRDefault="00CA0652" w:rsidP="008771E0">
            <w:pPr>
              <w:widowControl/>
              <w:jc w:val="left"/>
              <w:rPr>
                <w:rFonts w:ascii="仿宋" w:eastAsia="仿宋" w:hAnsi="仿宋" w:cs="宋体"/>
                <w:color w:val="000000"/>
                <w:kern w:val="0"/>
                <w:sz w:val="20"/>
                <w:szCs w:val="20"/>
              </w:rPr>
            </w:pPr>
            <w:r w:rsidRPr="00CA0652">
              <w:rPr>
                <w:rFonts w:ascii="仿宋" w:eastAsia="仿宋" w:hAnsi="仿宋" w:cs="宋体" w:hint="eastAsia"/>
                <w:color w:val="000000"/>
                <w:kern w:val="0"/>
                <w:sz w:val="20"/>
                <w:szCs w:val="20"/>
              </w:rPr>
              <w:t>核心交换机</w:t>
            </w:r>
          </w:p>
        </w:tc>
        <w:tc>
          <w:tcPr>
            <w:tcW w:w="6092" w:type="dxa"/>
            <w:shd w:val="clear" w:color="000000" w:fill="FFFFFF"/>
            <w:hideMark/>
          </w:tcPr>
          <w:p w:rsidR="00CA0652" w:rsidRPr="00CA0652" w:rsidRDefault="00CA0652" w:rsidP="008771E0">
            <w:pPr>
              <w:widowControl/>
              <w:jc w:val="left"/>
              <w:rPr>
                <w:rFonts w:ascii="仿宋" w:eastAsia="仿宋" w:hAnsi="仿宋" w:cs="宋体"/>
                <w:kern w:val="0"/>
                <w:sz w:val="20"/>
                <w:szCs w:val="20"/>
              </w:rPr>
            </w:pPr>
            <w:r w:rsidRPr="00CA0652">
              <w:rPr>
                <w:rFonts w:ascii="仿宋" w:eastAsia="仿宋" w:hAnsi="仿宋" w:cs="宋体" w:hint="eastAsia"/>
                <w:kern w:val="0"/>
                <w:sz w:val="20"/>
                <w:szCs w:val="20"/>
              </w:rPr>
              <w:t>1、▲采用CLOS交换架构，交换网板有独立插槽且与主控引擎、业务板硬件分离,为保证设备后续性能的可扩展性并提高设备的稳定性，投标产品的硬件架构需要交换网板与线卡成垂直90°正交连接，需提供产品清晰正、背面实物照片各1张以展示各插槽分布；</w:t>
            </w:r>
            <w:r w:rsidRPr="00CA0652">
              <w:rPr>
                <w:rFonts w:ascii="仿宋" w:eastAsia="仿宋" w:hAnsi="仿宋" w:cs="宋体" w:hint="eastAsia"/>
                <w:kern w:val="0"/>
                <w:sz w:val="20"/>
                <w:szCs w:val="20"/>
              </w:rPr>
              <w:br/>
              <w:t>2、▲独立主控引擎插槽≥2个，独立业务插槽≥8个，独立交换网板插槽≥2个（非主控卡内置交换芯片），支持电源槽位≥4；</w:t>
            </w:r>
            <w:r w:rsidRPr="00CA0652">
              <w:rPr>
                <w:rFonts w:ascii="仿宋" w:eastAsia="仿宋" w:hAnsi="仿宋" w:cs="宋体" w:hint="eastAsia"/>
                <w:kern w:val="0"/>
                <w:sz w:val="20"/>
                <w:szCs w:val="20"/>
              </w:rPr>
              <w:br/>
              <w:t>3、▲交换容量≥260Tbps，包转发性能≥77000Mpps；</w:t>
            </w:r>
            <w:r w:rsidRPr="00CA0652">
              <w:rPr>
                <w:rFonts w:ascii="仿宋" w:eastAsia="仿宋" w:hAnsi="仿宋" w:cs="宋体" w:hint="eastAsia"/>
                <w:kern w:val="0"/>
                <w:sz w:val="20"/>
                <w:szCs w:val="20"/>
              </w:rPr>
              <w:br/>
              <w:t>4、支持风扇框冗余设计， 且为保证设备散热效果和可靠性，要求设备支持模块化风扇框，可热插拔，当单个风扇框发生故障时，有其他风扇正常运行，保证设备散热，要求独立风扇框个数≥2个；</w:t>
            </w:r>
            <w:r w:rsidRPr="00CA0652">
              <w:rPr>
                <w:rFonts w:ascii="仿宋" w:eastAsia="仿宋" w:hAnsi="仿宋" w:cs="宋体" w:hint="eastAsia"/>
                <w:kern w:val="0"/>
                <w:sz w:val="20"/>
                <w:szCs w:val="20"/>
              </w:rPr>
              <w:br/>
              <w:t>5、为适应业界主流机柜的深度，要求设备深度≤600mm；</w:t>
            </w:r>
            <w:r w:rsidRPr="00CA0652">
              <w:rPr>
                <w:rFonts w:ascii="仿宋" w:eastAsia="仿宋" w:hAnsi="仿宋" w:cs="宋体" w:hint="eastAsia"/>
                <w:kern w:val="0"/>
                <w:sz w:val="20"/>
                <w:szCs w:val="20"/>
              </w:rPr>
              <w:br/>
              <w:t>6、▲支持光口故障隔离。独特的光口保护电路设计，可监测光模块状态，光模块一旦出现短路可马上识别、并将故障模块隔离，确保不影响其它端口和整机的正常运行，更换模块后该端口也可马上恢复正常工作。投标时提供第三方权威机构检验报告证明并加盖原厂公章；</w:t>
            </w:r>
            <w:r w:rsidRPr="00CA0652">
              <w:rPr>
                <w:rFonts w:ascii="仿宋" w:eastAsia="仿宋" w:hAnsi="仿宋" w:cs="宋体" w:hint="eastAsia"/>
                <w:kern w:val="0"/>
                <w:sz w:val="20"/>
                <w:szCs w:val="20"/>
              </w:rPr>
              <w:br/>
              <w:t>7、支持N:1虚拟化：可将多台物理设备虚拟化为1台逻辑设备，虚拟组内设备具备统一的二层及三层转发表项，统一的管理界面，并可实现跨设备链路聚合；</w:t>
            </w:r>
            <w:r w:rsidRPr="00CA0652">
              <w:rPr>
                <w:rFonts w:ascii="仿宋" w:eastAsia="仿宋" w:hAnsi="仿宋" w:cs="宋体" w:hint="eastAsia"/>
                <w:kern w:val="0"/>
                <w:sz w:val="20"/>
                <w:szCs w:val="20"/>
              </w:rPr>
              <w:br/>
              <w:t>8、支持SDN特性，要求所投产品支持openflow 1.3协议,支持NETCONF协议；</w:t>
            </w:r>
            <w:r w:rsidRPr="00CA0652">
              <w:rPr>
                <w:rFonts w:ascii="仿宋" w:eastAsia="仿宋" w:hAnsi="仿宋" w:cs="宋体" w:hint="eastAsia"/>
                <w:kern w:val="0"/>
                <w:sz w:val="20"/>
                <w:szCs w:val="20"/>
              </w:rPr>
              <w:br/>
              <w:t>9、▲支持双交换网板和双引擎等关键模块在转发数据流的期间进行热插拔零丢包，投标时提供具有CMA或CAL或CNAS认证章的第三方权威机构检验报告证明；</w:t>
            </w:r>
            <w:r w:rsidRPr="00CA0652">
              <w:rPr>
                <w:rFonts w:ascii="仿宋" w:eastAsia="仿宋" w:hAnsi="仿宋" w:cs="宋体" w:hint="eastAsia"/>
                <w:kern w:val="0"/>
                <w:sz w:val="20"/>
                <w:szCs w:val="20"/>
              </w:rPr>
              <w:br/>
              <w:t>10、支持IPv6静态路由、RIPng、OSPF v3、BGP4+ 等路由协议，支持ICMP、ICMPv6、支持ND（neighbor discover）、手工配置（自动创建）本地地址、IPv6 Ping、IPv6 Tracert，支持手动隧道，自动隧道，ISATAP，IPv4 over IPv6；</w:t>
            </w:r>
            <w:r w:rsidRPr="00CA0652">
              <w:rPr>
                <w:rFonts w:ascii="仿宋" w:eastAsia="仿宋" w:hAnsi="仿宋" w:cs="宋体" w:hint="eastAsia"/>
                <w:kern w:val="0"/>
                <w:sz w:val="20"/>
                <w:szCs w:val="20"/>
              </w:rPr>
              <w:br/>
              <w:t>11、支持MPLS转发，支持MPLS MIB(RFC1273,4265,4382)，支持跨</w:t>
            </w:r>
            <w:r w:rsidRPr="00CA0652">
              <w:rPr>
                <w:rFonts w:ascii="仿宋" w:eastAsia="仿宋" w:hAnsi="仿宋" w:cs="宋体" w:hint="eastAsia"/>
                <w:kern w:val="0"/>
                <w:sz w:val="20"/>
                <w:szCs w:val="20"/>
              </w:rPr>
              <w:lastRenderedPageBreak/>
              <w:t>域OPTION A/B/C三种模式，支持基础安全保护策略 ，可实现ARP、DHCP、ICMP、IP扫描、DHCP V6、ND等各种攻击的自动防御,可自定义抗攻击的报文类型；</w:t>
            </w:r>
            <w:r w:rsidRPr="00CA0652">
              <w:rPr>
                <w:rFonts w:ascii="仿宋" w:eastAsia="仿宋" w:hAnsi="仿宋" w:cs="宋体" w:hint="eastAsia"/>
                <w:kern w:val="0"/>
                <w:sz w:val="20"/>
                <w:szCs w:val="20"/>
              </w:rPr>
              <w:br/>
              <w:t>12、支持10G端口在负载100%的情况下每端口功率需要≤2W；</w:t>
            </w:r>
            <w:r w:rsidRPr="00CA0652">
              <w:rPr>
                <w:rFonts w:ascii="仿宋" w:eastAsia="仿宋" w:hAnsi="仿宋" w:cs="宋体" w:hint="eastAsia"/>
                <w:kern w:val="0"/>
                <w:sz w:val="20"/>
                <w:szCs w:val="20"/>
              </w:rPr>
              <w:br/>
              <w:t>13、▲支持硬件健康状态可视化，设备支持硬件健康状态可视化，可以对风扇状态、电源、温度、板载电压进行监控，尤其是在日常巡查中发现电压异常前兆，可及时处理，避免出现电压异常宕机。投标时提供第三方权威机构检验报告证明并加盖原厂公章；</w:t>
            </w:r>
            <w:r w:rsidRPr="00CA0652">
              <w:rPr>
                <w:rFonts w:ascii="仿宋" w:eastAsia="仿宋" w:hAnsi="仿宋" w:cs="宋体" w:hint="eastAsia"/>
                <w:kern w:val="0"/>
                <w:sz w:val="20"/>
                <w:szCs w:val="20"/>
              </w:rPr>
              <w:br/>
              <w:t>14、▲单台实际配置: ≥1个主控引擎，≥2个独立交换网板，≥2个1600W电源，单台配置≥48个千兆电口、≥96个万兆光口，配置虚拟化专用线缆≥1套（线缆长度≥5m，含两端配套连接模块）；≥15个万兆单模光纤模块；≥15个万兆多模光纤模块；</w:t>
            </w:r>
          </w:p>
        </w:tc>
        <w:tc>
          <w:tcPr>
            <w:tcW w:w="560" w:type="dxa"/>
            <w:shd w:val="clear" w:color="auto" w:fill="auto"/>
            <w:noWrap/>
            <w:hideMark/>
          </w:tcPr>
          <w:p w:rsidR="00CA0652" w:rsidRPr="00CA0652" w:rsidRDefault="00CA0652" w:rsidP="008771E0">
            <w:pPr>
              <w:widowControl/>
              <w:jc w:val="left"/>
              <w:rPr>
                <w:rFonts w:ascii="仿宋" w:eastAsia="仿宋" w:hAnsi="仿宋" w:cs="宋体"/>
                <w:color w:val="000000"/>
                <w:kern w:val="0"/>
                <w:sz w:val="20"/>
                <w:szCs w:val="20"/>
              </w:rPr>
            </w:pPr>
            <w:r w:rsidRPr="00CA0652">
              <w:rPr>
                <w:rFonts w:ascii="仿宋" w:eastAsia="仿宋" w:hAnsi="仿宋" w:cs="宋体" w:hint="eastAsia"/>
                <w:color w:val="000000"/>
                <w:kern w:val="0"/>
                <w:sz w:val="20"/>
                <w:szCs w:val="20"/>
              </w:rPr>
              <w:lastRenderedPageBreak/>
              <w:t>2</w:t>
            </w:r>
          </w:p>
        </w:tc>
        <w:tc>
          <w:tcPr>
            <w:tcW w:w="560" w:type="dxa"/>
            <w:shd w:val="clear" w:color="auto" w:fill="auto"/>
            <w:noWrap/>
            <w:hideMark/>
          </w:tcPr>
          <w:p w:rsidR="00CA0652" w:rsidRPr="00CA0652" w:rsidRDefault="00CA0652" w:rsidP="008771E0">
            <w:pPr>
              <w:widowControl/>
              <w:jc w:val="left"/>
              <w:rPr>
                <w:rFonts w:ascii="仿宋" w:eastAsia="仿宋" w:hAnsi="仿宋" w:cs="宋体"/>
                <w:color w:val="000000"/>
                <w:kern w:val="0"/>
                <w:sz w:val="20"/>
                <w:szCs w:val="20"/>
              </w:rPr>
            </w:pPr>
            <w:r w:rsidRPr="00CA0652">
              <w:rPr>
                <w:rFonts w:ascii="仿宋" w:eastAsia="仿宋" w:hAnsi="仿宋" w:cs="宋体" w:hint="eastAsia"/>
                <w:color w:val="000000"/>
                <w:kern w:val="0"/>
                <w:sz w:val="20"/>
                <w:szCs w:val="20"/>
              </w:rPr>
              <w:t>台</w:t>
            </w:r>
          </w:p>
        </w:tc>
      </w:tr>
    </w:tbl>
    <w:p w:rsidR="006830DE" w:rsidRPr="00CA0652" w:rsidRDefault="006830DE">
      <w:pPr>
        <w:spacing w:line="360" w:lineRule="auto"/>
        <w:ind w:firstLineChars="100" w:firstLine="240"/>
        <w:rPr>
          <w:rFonts w:ascii="仿宋" w:eastAsia="仿宋" w:hAnsi="仿宋"/>
          <w:color w:val="000000"/>
          <w:sz w:val="24"/>
          <w:szCs w:val="24"/>
        </w:rPr>
      </w:pPr>
    </w:p>
    <w:sectPr w:rsidR="006830DE" w:rsidRPr="00CA0652" w:rsidSect="009244B4">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59EE" w:rsidRDefault="008D59EE">
      <w:r>
        <w:separator/>
      </w:r>
    </w:p>
  </w:endnote>
  <w:endnote w:type="continuationSeparator" w:id="1">
    <w:p w:rsidR="008D59EE" w:rsidRDefault="008D5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602908"/>
      <w:docPartObj>
        <w:docPartGallery w:val="AutoText"/>
      </w:docPartObj>
    </w:sdtPr>
    <w:sdtEndPr>
      <w:rPr>
        <w:rFonts w:ascii="仿宋" w:eastAsia="仿宋" w:hAnsi="仿宋"/>
        <w:sz w:val="24"/>
        <w:szCs w:val="24"/>
      </w:rPr>
    </w:sdtEndPr>
    <w:sdtContent>
      <w:p w:rsidR="006830DE" w:rsidRDefault="00A00D8D">
        <w:pPr>
          <w:pStyle w:val="a6"/>
          <w:jc w:val="center"/>
          <w:rPr>
            <w:rFonts w:ascii="仿宋" w:eastAsia="仿宋" w:hAnsi="仿宋"/>
            <w:sz w:val="24"/>
            <w:szCs w:val="24"/>
          </w:rPr>
        </w:pPr>
        <w:r>
          <w:rPr>
            <w:rFonts w:ascii="仿宋" w:eastAsia="仿宋" w:hAnsi="仿宋"/>
            <w:sz w:val="24"/>
            <w:szCs w:val="24"/>
          </w:rPr>
          <w:fldChar w:fldCharType="begin"/>
        </w:r>
        <w:r w:rsidR="00C16575">
          <w:rPr>
            <w:rFonts w:ascii="仿宋" w:eastAsia="仿宋" w:hAnsi="仿宋"/>
            <w:sz w:val="24"/>
            <w:szCs w:val="24"/>
          </w:rPr>
          <w:instrText>PAGE   \* MERGEFORMAT</w:instrText>
        </w:r>
        <w:r>
          <w:rPr>
            <w:rFonts w:ascii="仿宋" w:eastAsia="仿宋" w:hAnsi="仿宋"/>
            <w:sz w:val="24"/>
            <w:szCs w:val="24"/>
          </w:rPr>
          <w:fldChar w:fldCharType="separate"/>
        </w:r>
        <w:r w:rsidR="0044762A" w:rsidRPr="0044762A">
          <w:rPr>
            <w:rFonts w:ascii="仿宋" w:eastAsia="仿宋" w:hAnsi="仿宋"/>
            <w:noProof/>
            <w:sz w:val="24"/>
            <w:szCs w:val="24"/>
            <w:lang w:val="zh-CN"/>
          </w:rPr>
          <w:t>3</w:t>
        </w:r>
        <w:r>
          <w:rPr>
            <w:rFonts w:ascii="仿宋" w:eastAsia="仿宋" w:hAnsi="仿宋"/>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59EE" w:rsidRDefault="008D59EE">
      <w:r>
        <w:separator/>
      </w:r>
    </w:p>
  </w:footnote>
  <w:footnote w:type="continuationSeparator" w:id="1">
    <w:p w:rsidR="008D59EE" w:rsidRDefault="008D59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95396"/>
    <w:multiLevelType w:val="multilevel"/>
    <w:tmpl w:val="15D9539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6F44392"/>
    <w:multiLevelType w:val="hybridMultilevel"/>
    <w:tmpl w:val="06AEAEC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7F4288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nsid w:val="23371B09"/>
    <w:multiLevelType w:val="hybridMultilevel"/>
    <w:tmpl w:val="C244387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32C14C12"/>
    <w:multiLevelType w:val="hybridMultilevel"/>
    <w:tmpl w:val="064875F0"/>
    <w:lvl w:ilvl="0" w:tplc="04090013">
      <w:start w:val="1"/>
      <w:numFmt w:val="chineseCountingThousand"/>
      <w:lvlText w:val="%1、"/>
      <w:lvlJc w:val="left"/>
      <w:pPr>
        <w:ind w:left="720" w:hanging="720"/>
      </w:pPr>
      <w:rPr>
        <w:rFonts w:hint="default"/>
      </w:rPr>
    </w:lvl>
    <w:lvl w:ilvl="1" w:tplc="04090019">
      <w:start w:val="1"/>
      <w:numFmt w:val="lowerLetter"/>
      <w:lvlText w:val="%2)"/>
      <w:lvlJc w:val="left"/>
      <w:pPr>
        <w:ind w:left="840" w:hanging="420"/>
      </w:pPr>
    </w:lvl>
    <w:lvl w:ilvl="2" w:tplc="F8E4E670">
      <w:start w:val="1"/>
      <w:numFmt w:val="decimal"/>
      <w:lvlText w:val="%3）"/>
      <w:lvlJc w:val="left"/>
      <w:pPr>
        <w:ind w:left="1680" w:hanging="84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2CA3A03"/>
    <w:multiLevelType w:val="multilevel"/>
    <w:tmpl w:val="32CA3A03"/>
    <w:lvl w:ilvl="0">
      <w:start w:val="1"/>
      <w:numFmt w:val="decimal"/>
      <w:lvlText w:val="%1、"/>
      <w:lvlJc w:val="left"/>
      <w:pPr>
        <w:ind w:left="1000" w:hanging="720"/>
      </w:pPr>
      <w:rPr>
        <w:rFonts w:hint="default"/>
      </w:r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6">
    <w:nsid w:val="39C74B18"/>
    <w:multiLevelType w:val="hybridMultilevel"/>
    <w:tmpl w:val="E08E3612"/>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nsid w:val="47A25F96"/>
    <w:multiLevelType w:val="hybridMultilevel"/>
    <w:tmpl w:val="9CF2803E"/>
    <w:lvl w:ilvl="0" w:tplc="F8E4E670">
      <w:start w:val="1"/>
      <w:numFmt w:val="decimal"/>
      <w:lvlText w:val="%1）"/>
      <w:lvlJc w:val="left"/>
      <w:pPr>
        <w:ind w:left="168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7D44C36"/>
    <w:multiLevelType w:val="hybridMultilevel"/>
    <w:tmpl w:val="F0E29D6E"/>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4A0020B3"/>
    <w:multiLevelType w:val="hybridMultilevel"/>
    <w:tmpl w:val="2696A44E"/>
    <w:lvl w:ilvl="0" w:tplc="9078C5CE">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BF24E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nsid w:val="50FC2154"/>
    <w:multiLevelType w:val="hybridMultilevel"/>
    <w:tmpl w:val="9CF2803E"/>
    <w:lvl w:ilvl="0" w:tplc="F8E4E670">
      <w:start w:val="1"/>
      <w:numFmt w:val="decimal"/>
      <w:lvlText w:val="%1）"/>
      <w:lvlJc w:val="left"/>
      <w:pPr>
        <w:ind w:left="168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48541E2"/>
    <w:multiLevelType w:val="hybridMultilevel"/>
    <w:tmpl w:val="909AF62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nsid w:val="57DC657A"/>
    <w:multiLevelType w:val="hybridMultilevel"/>
    <w:tmpl w:val="9CF2803E"/>
    <w:lvl w:ilvl="0" w:tplc="F8E4E670">
      <w:start w:val="1"/>
      <w:numFmt w:val="decimal"/>
      <w:lvlText w:val="%1）"/>
      <w:lvlJc w:val="left"/>
      <w:pPr>
        <w:ind w:left="168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AD30DA8"/>
    <w:multiLevelType w:val="hybridMultilevel"/>
    <w:tmpl w:val="148A5620"/>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5">
    <w:nsid w:val="5EC227D8"/>
    <w:multiLevelType w:val="singleLevel"/>
    <w:tmpl w:val="5EC227D8"/>
    <w:lvl w:ilvl="0">
      <w:start w:val="1"/>
      <w:numFmt w:val="decimal"/>
      <w:suff w:val="nothing"/>
      <w:lvlText w:val="%1."/>
      <w:lvlJc w:val="left"/>
    </w:lvl>
  </w:abstractNum>
  <w:abstractNum w:abstractNumId="16">
    <w:nsid w:val="63CE311D"/>
    <w:multiLevelType w:val="hybridMultilevel"/>
    <w:tmpl w:val="E08E3612"/>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7">
    <w:nsid w:val="660050B8"/>
    <w:multiLevelType w:val="hybridMultilevel"/>
    <w:tmpl w:val="CF58029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7A3937A7"/>
    <w:multiLevelType w:val="hybridMultilevel"/>
    <w:tmpl w:val="05200CDA"/>
    <w:lvl w:ilvl="0" w:tplc="8332BF1E">
      <w:start w:val="1"/>
      <w:numFmt w:val="japaneseCounting"/>
      <w:lvlText w:val="%1、"/>
      <w:lvlJc w:val="left"/>
      <w:pPr>
        <w:ind w:left="720" w:hanging="720"/>
      </w:pPr>
      <w:rPr>
        <w:rFonts w:ascii="仿宋" w:eastAsia="仿宋" w:hAnsi="仿宋"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7FBB038A"/>
    <w:multiLevelType w:val="hybridMultilevel"/>
    <w:tmpl w:val="B4DAB2AA"/>
    <w:lvl w:ilvl="0" w:tplc="5558910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9"/>
  </w:num>
  <w:num w:numId="3">
    <w:abstractNumId w:val="4"/>
  </w:num>
  <w:num w:numId="4">
    <w:abstractNumId w:val="10"/>
  </w:num>
  <w:num w:numId="5">
    <w:abstractNumId w:val="2"/>
  </w:num>
  <w:num w:numId="6">
    <w:abstractNumId w:val="11"/>
  </w:num>
  <w:num w:numId="7">
    <w:abstractNumId w:val="7"/>
  </w:num>
  <w:num w:numId="8">
    <w:abstractNumId w:val="13"/>
  </w:num>
  <w:num w:numId="9">
    <w:abstractNumId w:val="15"/>
  </w:num>
  <w:num w:numId="10">
    <w:abstractNumId w:val="0"/>
  </w:num>
  <w:num w:numId="11">
    <w:abstractNumId w:val="8"/>
  </w:num>
  <w:num w:numId="12">
    <w:abstractNumId w:val="3"/>
  </w:num>
  <w:num w:numId="13">
    <w:abstractNumId w:val="1"/>
  </w:num>
  <w:num w:numId="14">
    <w:abstractNumId w:val="17"/>
  </w:num>
  <w:num w:numId="15">
    <w:abstractNumId w:val="12"/>
  </w:num>
  <w:num w:numId="16">
    <w:abstractNumId w:val="16"/>
  </w:num>
  <w:num w:numId="17">
    <w:abstractNumId w:val="6"/>
  </w:num>
  <w:num w:numId="18">
    <w:abstractNumId w:val="14"/>
  </w:num>
  <w:num w:numId="19">
    <w:abstractNumId w:val="18"/>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8176C"/>
    <w:rsid w:val="00007DD6"/>
    <w:rsid w:val="000319D4"/>
    <w:rsid w:val="00063C5D"/>
    <w:rsid w:val="000672DE"/>
    <w:rsid w:val="00082499"/>
    <w:rsid w:val="00086C28"/>
    <w:rsid w:val="000C12DC"/>
    <w:rsid w:val="000E58EB"/>
    <w:rsid w:val="00116386"/>
    <w:rsid w:val="00117014"/>
    <w:rsid w:val="001240F7"/>
    <w:rsid w:val="00124285"/>
    <w:rsid w:val="00142F26"/>
    <w:rsid w:val="00143676"/>
    <w:rsid w:val="0014633E"/>
    <w:rsid w:val="00155047"/>
    <w:rsid w:val="00161196"/>
    <w:rsid w:val="0016151B"/>
    <w:rsid w:val="001820CD"/>
    <w:rsid w:val="001C3F7B"/>
    <w:rsid w:val="001F1586"/>
    <w:rsid w:val="00202323"/>
    <w:rsid w:val="002118AD"/>
    <w:rsid w:val="00221173"/>
    <w:rsid w:val="00223E16"/>
    <w:rsid w:val="00226CD3"/>
    <w:rsid w:val="00245414"/>
    <w:rsid w:val="00252187"/>
    <w:rsid w:val="002566CF"/>
    <w:rsid w:val="00266946"/>
    <w:rsid w:val="0028499B"/>
    <w:rsid w:val="002939B5"/>
    <w:rsid w:val="002B2A10"/>
    <w:rsid w:val="002B4DE1"/>
    <w:rsid w:val="002C6CC0"/>
    <w:rsid w:val="002E012E"/>
    <w:rsid w:val="002F54D7"/>
    <w:rsid w:val="0030541D"/>
    <w:rsid w:val="00320F50"/>
    <w:rsid w:val="00322AB6"/>
    <w:rsid w:val="0036080C"/>
    <w:rsid w:val="003813A7"/>
    <w:rsid w:val="003A1422"/>
    <w:rsid w:val="003A4FC8"/>
    <w:rsid w:val="003B11FB"/>
    <w:rsid w:val="003C4A84"/>
    <w:rsid w:val="003C651A"/>
    <w:rsid w:val="003E1769"/>
    <w:rsid w:val="003E6668"/>
    <w:rsid w:val="00411232"/>
    <w:rsid w:val="004420E8"/>
    <w:rsid w:val="00442269"/>
    <w:rsid w:val="00445630"/>
    <w:rsid w:val="0044762A"/>
    <w:rsid w:val="00454B5E"/>
    <w:rsid w:val="00466EDA"/>
    <w:rsid w:val="004A3D38"/>
    <w:rsid w:val="004D35DE"/>
    <w:rsid w:val="004F0524"/>
    <w:rsid w:val="004F2AA2"/>
    <w:rsid w:val="00504883"/>
    <w:rsid w:val="00506E51"/>
    <w:rsid w:val="00524410"/>
    <w:rsid w:val="005244F7"/>
    <w:rsid w:val="00542B6C"/>
    <w:rsid w:val="005538C4"/>
    <w:rsid w:val="00566917"/>
    <w:rsid w:val="005A7FAF"/>
    <w:rsid w:val="005B1F30"/>
    <w:rsid w:val="005B4B3A"/>
    <w:rsid w:val="005C1DC6"/>
    <w:rsid w:val="005C35FC"/>
    <w:rsid w:val="005D6B17"/>
    <w:rsid w:val="005F0655"/>
    <w:rsid w:val="00603687"/>
    <w:rsid w:val="00604A29"/>
    <w:rsid w:val="006331CA"/>
    <w:rsid w:val="00633480"/>
    <w:rsid w:val="0063521A"/>
    <w:rsid w:val="0064502E"/>
    <w:rsid w:val="00652155"/>
    <w:rsid w:val="006677C0"/>
    <w:rsid w:val="006830DE"/>
    <w:rsid w:val="006A0C1E"/>
    <w:rsid w:val="006E7F74"/>
    <w:rsid w:val="00715EC9"/>
    <w:rsid w:val="00736B2F"/>
    <w:rsid w:val="007605C9"/>
    <w:rsid w:val="007915F1"/>
    <w:rsid w:val="007A008E"/>
    <w:rsid w:val="007B5A30"/>
    <w:rsid w:val="007D412E"/>
    <w:rsid w:val="008059D8"/>
    <w:rsid w:val="00806543"/>
    <w:rsid w:val="008133F3"/>
    <w:rsid w:val="00815F14"/>
    <w:rsid w:val="00817220"/>
    <w:rsid w:val="00853AF6"/>
    <w:rsid w:val="00856E20"/>
    <w:rsid w:val="00867BF6"/>
    <w:rsid w:val="008868F6"/>
    <w:rsid w:val="008B20D1"/>
    <w:rsid w:val="008B27DC"/>
    <w:rsid w:val="008D59EE"/>
    <w:rsid w:val="008F4196"/>
    <w:rsid w:val="009134A1"/>
    <w:rsid w:val="009244B4"/>
    <w:rsid w:val="00957617"/>
    <w:rsid w:val="009B2571"/>
    <w:rsid w:val="009D5BCB"/>
    <w:rsid w:val="009F48F9"/>
    <w:rsid w:val="00A00D8D"/>
    <w:rsid w:val="00A1146F"/>
    <w:rsid w:val="00A1342C"/>
    <w:rsid w:val="00A16B76"/>
    <w:rsid w:val="00A174B9"/>
    <w:rsid w:val="00A35EF9"/>
    <w:rsid w:val="00A90E3C"/>
    <w:rsid w:val="00AB189E"/>
    <w:rsid w:val="00AB1E1A"/>
    <w:rsid w:val="00AB5546"/>
    <w:rsid w:val="00AC76D4"/>
    <w:rsid w:val="00AE1A8B"/>
    <w:rsid w:val="00AE6997"/>
    <w:rsid w:val="00AF723E"/>
    <w:rsid w:val="00B0105E"/>
    <w:rsid w:val="00B01623"/>
    <w:rsid w:val="00B051FB"/>
    <w:rsid w:val="00B1067C"/>
    <w:rsid w:val="00B208ED"/>
    <w:rsid w:val="00B2417A"/>
    <w:rsid w:val="00B3652B"/>
    <w:rsid w:val="00B77840"/>
    <w:rsid w:val="00B84279"/>
    <w:rsid w:val="00B91D0C"/>
    <w:rsid w:val="00BA1DAE"/>
    <w:rsid w:val="00BC460D"/>
    <w:rsid w:val="00C02703"/>
    <w:rsid w:val="00C16575"/>
    <w:rsid w:val="00C37D54"/>
    <w:rsid w:val="00C408FA"/>
    <w:rsid w:val="00C41E3B"/>
    <w:rsid w:val="00C4600A"/>
    <w:rsid w:val="00C508E2"/>
    <w:rsid w:val="00C63D39"/>
    <w:rsid w:val="00C82BCA"/>
    <w:rsid w:val="00CA0652"/>
    <w:rsid w:val="00CA1C6A"/>
    <w:rsid w:val="00CA68E4"/>
    <w:rsid w:val="00CD0855"/>
    <w:rsid w:val="00CD793D"/>
    <w:rsid w:val="00D05AAA"/>
    <w:rsid w:val="00D667AB"/>
    <w:rsid w:val="00D8176C"/>
    <w:rsid w:val="00D8262B"/>
    <w:rsid w:val="00DA6A09"/>
    <w:rsid w:val="00DB5194"/>
    <w:rsid w:val="00DE0600"/>
    <w:rsid w:val="00E009A6"/>
    <w:rsid w:val="00E215CA"/>
    <w:rsid w:val="00E22906"/>
    <w:rsid w:val="00E36A13"/>
    <w:rsid w:val="00E43653"/>
    <w:rsid w:val="00E46FAF"/>
    <w:rsid w:val="00E56FF3"/>
    <w:rsid w:val="00E76543"/>
    <w:rsid w:val="00E90A39"/>
    <w:rsid w:val="00EA21C0"/>
    <w:rsid w:val="00EB1793"/>
    <w:rsid w:val="00EE4308"/>
    <w:rsid w:val="00EF1E00"/>
    <w:rsid w:val="00F01B80"/>
    <w:rsid w:val="00F236E5"/>
    <w:rsid w:val="00F41934"/>
    <w:rsid w:val="00F70B6C"/>
    <w:rsid w:val="00F81CE9"/>
    <w:rsid w:val="00FA2B1B"/>
    <w:rsid w:val="00FB1FAD"/>
    <w:rsid w:val="00FC1858"/>
    <w:rsid w:val="00FC1C78"/>
    <w:rsid w:val="00FC6BFC"/>
    <w:rsid w:val="00FD4ACE"/>
    <w:rsid w:val="13D26FD1"/>
    <w:rsid w:val="1EDF716C"/>
    <w:rsid w:val="328B1F08"/>
    <w:rsid w:val="3E2D69CB"/>
    <w:rsid w:val="491F2DF6"/>
    <w:rsid w:val="51264D5A"/>
    <w:rsid w:val="6DC749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4B4"/>
    <w:pPr>
      <w:widowControl w:val="0"/>
      <w:jc w:val="both"/>
    </w:pPr>
    <w:rPr>
      <w:rFonts w:ascii="Calibri" w:eastAsia="宋体" w:hAnsi="Calibri" w:cs="Times New Roman"/>
      <w:kern w:val="2"/>
      <w:sz w:val="21"/>
      <w:szCs w:val="22"/>
    </w:rPr>
  </w:style>
  <w:style w:type="paragraph" w:styleId="1">
    <w:name w:val="heading 1"/>
    <w:basedOn w:val="a"/>
    <w:next w:val="a"/>
    <w:link w:val="1Char"/>
    <w:uiPriority w:val="9"/>
    <w:qFormat/>
    <w:rsid w:val="009244B4"/>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rsid w:val="009244B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nhideWhenUsed/>
    <w:qFormat/>
    <w:rsid w:val="009244B4"/>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B8427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semiHidden/>
    <w:unhideWhenUsed/>
    <w:rsid w:val="009244B4"/>
    <w:pPr>
      <w:ind w:firstLineChars="200" w:firstLine="420"/>
    </w:pPr>
  </w:style>
  <w:style w:type="paragraph" w:styleId="a4">
    <w:name w:val="caption"/>
    <w:basedOn w:val="a"/>
    <w:next w:val="a"/>
    <w:qFormat/>
    <w:rsid w:val="009244B4"/>
    <w:rPr>
      <w:rFonts w:ascii="Arial" w:eastAsia="黑体" w:hAnsi="Arial" w:cs="Arial"/>
      <w:sz w:val="20"/>
      <w:szCs w:val="20"/>
    </w:rPr>
  </w:style>
  <w:style w:type="paragraph" w:styleId="30">
    <w:name w:val="toc 3"/>
    <w:basedOn w:val="a"/>
    <w:next w:val="a"/>
    <w:uiPriority w:val="39"/>
    <w:unhideWhenUsed/>
    <w:qFormat/>
    <w:rsid w:val="009244B4"/>
    <w:pPr>
      <w:ind w:leftChars="400" w:left="840"/>
    </w:pPr>
  </w:style>
  <w:style w:type="paragraph" w:styleId="a5">
    <w:name w:val="Balloon Text"/>
    <w:basedOn w:val="a"/>
    <w:link w:val="Char"/>
    <w:uiPriority w:val="99"/>
    <w:semiHidden/>
    <w:unhideWhenUsed/>
    <w:qFormat/>
    <w:rsid w:val="009244B4"/>
    <w:rPr>
      <w:sz w:val="18"/>
      <w:szCs w:val="18"/>
    </w:rPr>
  </w:style>
  <w:style w:type="paragraph" w:styleId="a6">
    <w:name w:val="footer"/>
    <w:basedOn w:val="a"/>
    <w:link w:val="Char0"/>
    <w:uiPriority w:val="99"/>
    <w:unhideWhenUsed/>
    <w:qFormat/>
    <w:rsid w:val="009244B4"/>
    <w:pPr>
      <w:tabs>
        <w:tab w:val="center" w:pos="4153"/>
        <w:tab w:val="right" w:pos="8306"/>
      </w:tabs>
      <w:snapToGrid w:val="0"/>
      <w:jc w:val="left"/>
    </w:pPr>
    <w:rPr>
      <w:sz w:val="18"/>
      <w:szCs w:val="18"/>
    </w:rPr>
  </w:style>
  <w:style w:type="paragraph" w:styleId="a7">
    <w:name w:val="header"/>
    <w:basedOn w:val="a"/>
    <w:link w:val="Char1"/>
    <w:uiPriority w:val="99"/>
    <w:unhideWhenUsed/>
    <w:qFormat/>
    <w:rsid w:val="009244B4"/>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rsid w:val="009244B4"/>
  </w:style>
  <w:style w:type="paragraph" w:styleId="20">
    <w:name w:val="toc 2"/>
    <w:basedOn w:val="a"/>
    <w:next w:val="a"/>
    <w:uiPriority w:val="39"/>
    <w:unhideWhenUsed/>
    <w:qFormat/>
    <w:rsid w:val="009244B4"/>
    <w:pPr>
      <w:ind w:leftChars="200" w:left="420"/>
    </w:pPr>
  </w:style>
  <w:style w:type="paragraph" w:styleId="a8">
    <w:name w:val="Normal (Web)"/>
    <w:basedOn w:val="a"/>
    <w:uiPriority w:val="99"/>
    <w:unhideWhenUsed/>
    <w:rsid w:val="009244B4"/>
    <w:pPr>
      <w:widowControl/>
      <w:spacing w:before="100" w:beforeAutospacing="1" w:after="100" w:afterAutospacing="1"/>
      <w:jc w:val="left"/>
    </w:pPr>
    <w:rPr>
      <w:rFonts w:ascii="宋体" w:hAnsi="宋体" w:cs="宋体"/>
      <w:kern w:val="0"/>
      <w:sz w:val="24"/>
      <w:szCs w:val="24"/>
    </w:rPr>
  </w:style>
  <w:style w:type="table" w:styleId="a9">
    <w:name w:val="Table Grid"/>
    <w:basedOn w:val="a1"/>
    <w:uiPriority w:val="39"/>
    <w:rsid w:val="009244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sid w:val="009244B4"/>
    <w:rPr>
      <w:b/>
      <w:bCs/>
    </w:rPr>
  </w:style>
  <w:style w:type="character" w:styleId="ab">
    <w:name w:val="Hyperlink"/>
    <w:basedOn w:val="a0"/>
    <w:uiPriority w:val="99"/>
    <w:unhideWhenUsed/>
    <w:rsid w:val="009244B4"/>
    <w:rPr>
      <w:color w:val="0563C1" w:themeColor="hyperlink"/>
      <w:u w:val="single"/>
    </w:rPr>
  </w:style>
  <w:style w:type="paragraph" w:customStyle="1" w:styleId="21">
    <w:name w:val="样式 正文缩进 + 首行缩进:  2 字符"/>
    <w:basedOn w:val="a3"/>
    <w:link w:val="2Char0"/>
    <w:qFormat/>
    <w:rsid w:val="009244B4"/>
    <w:pPr>
      <w:spacing w:line="360" w:lineRule="auto"/>
      <w:ind w:firstLine="200"/>
    </w:pPr>
    <w:rPr>
      <w:rFonts w:ascii="Times New Roman" w:hAnsi="Times New Roman"/>
      <w:sz w:val="24"/>
      <w:szCs w:val="20"/>
      <w:lang w:val="zh-CN"/>
    </w:rPr>
  </w:style>
  <w:style w:type="character" w:customStyle="1" w:styleId="2Char0">
    <w:name w:val="样式 正文缩进 + 首行缩进:  2 字符 Char"/>
    <w:link w:val="21"/>
    <w:rsid w:val="009244B4"/>
    <w:rPr>
      <w:rFonts w:ascii="Times New Roman" w:eastAsia="宋体" w:hAnsi="Times New Roman" w:cs="Times New Roman"/>
      <w:sz w:val="24"/>
      <w:szCs w:val="20"/>
      <w:lang w:val="zh-CN" w:eastAsia="zh-CN"/>
    </w:rPr>
  </w:style>
  <w:style w:type="character" w:customStyle="1" w:styleId="1Char">
    <w:name w:val="标题 1 Char"/>
    <w:basedOn w:val="a0"/>
    <w:link w:val="1"/>
    <w:uiPriority w:val="9"/>
    <w:rsid w:val="009244B4"/>
    <w:rPr>
      <w:rFonts w:ascii="Calibri" w:eastAsia="宋体" w:hAnsi="Calibri" w:cs="Times New Roman"/>
      <w:b/>
      <w:bCs/>
      <w:kern w:val="44"/>
      <w:sz w:val="44"/>
      <w:szCs w:val="44"/>
    </w:rPr>
  </w:style>
  <w:style w:type="character" w:customStyle="1" w:styleId="2Char">
    <w:name w:val="标题 2 Char"/>
    <w:basedOn w:val="a0"/>
    <w:link w:val="2"/>
    <w:rsid w:val="009244B4"/>
    <w:rPr>
      <w:rFonts w:asciiTheme="majorHAnsi" w:eastAsiaTheme="majorEastAsia" w:hAnsiTheme="majorHAnsi" w:cstheme="majorBidi"/>
      <w:b/>
      <w:bCs/>
      <w:sz w:val="32"/>
      <w:szCs w:val="32"/>
    </w:rPr>
  </w:style>
  <w:style w:type="character" w:customStyle="1" w:styleId="Char2">
    <w:name w:val="方案正文 Char"/>
    <w:link w:val="ac"/>
    <w:qFormat/>
    <w:locked/>
    <w:rsid w:val="009244B4"/>
    <w:rPr>
      <w:rFonts w:ascii="Arial" w:hAnsi="Arial" w:cs="宋体"/>
      <w:sz w:val="24"/>
      <w:szCs w:val="21"/>
    </w:rPr>
  </w:style>
  <w:style w:type="paragraph" w:customStyle="1" w:styleId="ac">
    <w:name w:val="方案正文"/>
    <w:basedOn w:val="a"/>
    <w:link w:val="Char2"/>
    <w:qFormat/>
    <w:rsid w:val="009244B4"/>
    <w:pPr>
      <w:spacing w:before="156" w:line="360" w:lineRule="auto"/>
      <w:ind w:firstLineChars="171" w:firstLine="359"/>
      <w:jc w:val="left"/>
    </w:pPr>
    <w:rPr>
      <w:rFonts w:ascii="Arial" w:eastAsiaTheme="minorEastAsia" w:hAnsi="Arial" w:cs="宋体"/>
      <w:sz w:val="24"/>
      <w:szCs w:val="21"/>
    </w:rPr>
  </w:style>
  <w:style w:type="character" w:customStyle="1" w:styleId="3Char">
    <w:name w:val="标题 3 Char"/>
    <w:basedOn w:val="a0"/>
    <w:link w:val="3"/>
    <w:rsid w:val="009244B4"/>
    <w:rPr>
      <w:rFonts w:ascii="Calibri" w:eastAsia="宋体" w:hAnsi="Calibri" w:cs="Times New Roman"/>
      <w:b/>
      <w:bCs/>
      <w:sz w:val="32"/>
      <w:szCs w:val="32"/>
    </w:rPr>
  </w:style>
  <w:style w:type="character" w:customStyle="1" w:styleId="Char1">
    <w:name w:val="页眉 Char"/>
    <w:basedOn w:val="a0"/>
    <w:link w:val="a7"/>
    <w:uiPriority w:val="99"/>
    <w:qFormat/>
    <w:rsid w:val="009244B4"/>
    <w:rPr>
      <w:rFonts w:ascii="Calibri" w:eastAsia="宋体" w:hAnsi="Calibri" w:cs="Times New Roman"/>
      <w:sz w:val="18"/>
      <w:szCs w:val="18"/>
    </w:rPr>
  </w:style>
  <w:style w:type="character" w:customStyle="1" w:styleId="Char0">
    <w:name w:val="页脚 Char"/>
    <w:basedOn w:val="a0"/>
    <w:link w:val="a6"/>
    <w:uiPriority w:val="99"/>
    <w:rsid w:val="009244B4"/>
    <w:rPr>
      <w:rFonts w:ascii="Calibri" w:eastAsia="宋体" w:hAnsi="Calibri" w:cs="Times New Roman"/>
      <w:sz w:val="18"/>
      <w:szCs w:val="18"/>
    </w:rPr>
  </w:style>
  <w:style w:type="paragraph" w:customStyle="1" w:styleId="TOC1">
    <w:name w:val="TOC 标题1"/>
    <w:basedOn w:val="1"/>
    <w:next w:val="a"/>
    <w:uiPriority w:val="39"/>
    <w:unhideWhenUsed/>
    <w:qFormat/>
    <w:rsid w:val="009244B4"/>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Char">
    <w:name w:val="批注框文本 Char"/>
    <w:basedOn w:val="a0"/>
    <w:link w:val="a5"/>
    <w:uiPriority w:val="99"/>
    <w:semiHidden/>
    <w:qFormat/>
    <w:rsid w:val="009244B4"/>
    <w:rPr>
      <w:rFonts w:ascii="Calibri" w:eastAsia="宋体" w:hAnsi="Calibri" w:cs="Times New Roman"/>
      <w:sz w:val="18"/>
      <w:szCs w:val="18"/>
    </w:rPr>
  </w:style>
  <w:style w:type="paragraph" w:styleId="ad">
    <w:name w:val="List Paragraph"/>
    <w:basedOn w:val="a"/>
    <w:link w:val="Char3"/>
    <w:uiPriority w:val="34"/>
    <w:qFormat/>
    <w:rsid w:val="009244B4"/>
    <w:pPr>
      <w:ind w:firstLineChars="200" w:firstLine="420"/>
    </w:pPr>
  </w:style>
  <w:style w:type="paragraph" w:styleId="TOC">
    <w:name w:val="TOC Heading"/>
    <w:basedOn w:val="1"/>
    <w:next w:val="a"/>
    <w:uiPriority w:val="39"/>
    <w:unhideWhenUsed/>
    <w:qFormat/>
    <w:rsid w:val="00466EDA"/>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11">
    <w:name w:val="列表段落1"/>
    <w:basedOn w:val="a"/>
    <w:uiPriority w:val="1"/>
    <w:qFormat/>
    <w:rsid w:val="00E215CA"/>
    <w:pPr>
      <w:ind w:firstLineChars="200" w:firstLine="420"/>
    </w:pPr>
    <w:rPr>
      <w:rFonts w:ascii="Times New Roman" w:hAnsi="Times New Roman"/>
      <w:szCs w:val="24"/>
    </w:rPr>
  </w:style>
  <w:style w:type="character" w:customStyle="1" w:styleId="Char3">
    <w:name w:val="列出段落 Char"/>
    <w:basedOn w:val="a0"/>
    <w:link w:val="ad"/>
    <w:uiPriority w:val="34"/>
    <w:qFormat/>
    <w:rsid w:val="00E215CA"/>
    <w:rPr>
      <w:rFonts w:ascii="Calibri" w:eastAsia="宋体" w:hAnsi="Calibri" w:cs="Times New Roman"/>
      <w:kern w:val="2"/>
      <w:sz w:val="21"/>
      <w:szCs w:val="22"/>
    </w:rPr>
  </w:style>
  <w:style w:type="character" w:customStyle="1" w:styleId="4Char">
    <w:name w:val="标题 4 Char"/>
    <w:basedOn w:val="a0"/>
    <w:link w:val="4"/>
    <w:uiPriority w:val="9"/>
    <w:rsid w:val="00B84279"/>
    <w:rPr>
      <w:rFonts w:asciiTheme="majorHAnsi" w:eastAsiaTheme="majorEastAsia" w:hAnsiTheme="majorHAnsi" w:cstheme="majorBidi"/>
      <w:b/>
      <w:bCs/>
      <w:kern w:val="2"/>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文档" ma:contentTypeID="0x010100DA29640C23E50F4A965DDA3165F2E023" ma:contentTypeVersion="0" ma:contentTypeDescription="新建文档。" ma:contentTypeScope="" ma:versionID="734a2d7ed924f0cc291083b61003de49">
  <xsd:schema xmlns:xsd="http://www.w3.org/2001/XMLSchema" xmlns:xs="http://www.w3.org/2001/XMLSchema" xmlns:p="http://schemas.microsoft.com/office/2006/metadata/properties" targetNamespace="http://schemas.microsoft.com/office/2006/metadata/properties" ma:root="true" ma:fieldsID="19511ab58a048abb3793e03d046c8d0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E98A44-ACF5-44A3-9CF3-3256C02490E2}">
  <ds:schemaRefs>
    <ds:schemaRef ds:uri="http://schemas.openxmlformats.org/officeDocument/2006/bibliography"/>
  </ds:schemaRefs>
</ds:datastoreItem>
</file>

<file path=customXml/itemProps3.xml><?xml version="1.0" encoding="utf-8"?>
<ds:datastoreItem xmlns:ds="http://schemas.openxmlformats.org/officeDocument/2006/customXml" ds:itemID="{9E91DF07-1466-4BD0-A43D-493C0F7E22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96FC93-1929-4C99-93A4-4162524DAA84}">
  <ds:schemaRefs>
    <ds:schemaRef ds:uri="http://schemas.microsoft.com/sharepoint/v3/contenttype/forms"/>
  </ds:schemaRefs>
</ds:datastoreItem>
</file>

<file path=customXml/itemProps5.xml><?xml version="1.0" encoding="utf-8"?>
<ds:datastoreItem xmlns:ds="http://schemas.openxmlformats.org/officeDocument/2006/customXml" ds:itemID="{7918FC44-637E-4BC2-932C-5A9861C65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 Huang</dc:creator>
  <cp:lastModifiedBy>lenovo</cp:lastModifiedBy>
  <cp:revision>3</cp:revision>
  <cp:lastPrinted>2019-03-09T07:42:00Z</cp:lastPrinted>
  <dcterms:created xsi:type="dcterms:W3CDTF">2021-09-26T12:57:00Z</dcterms:created>
  <dcterms:modified xsi:type="dcterms:W3CDTF">2021-09-26T12:59:00Z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ContentTypeId">
    <vt:lpwstr>0x010100DA29640C23E50F4A965DDA3165F2E023</vt:lpwstr>
  </property>
</Properties>
</file>