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CABDFC">
      <w:pPr>
        <w:bidi w:val="0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成都市第五人民医院</w:t>
      </w:r>
    </w:p>
    <w:p w14:paraId="72CDD6AC">
      <w:pPr>
        <w:bidi w:val="0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脑电、心电、血压、血氧、血糖五参数生命体征一张网信息系统建设项目调研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需求</w:t>
      </w:r>
    </w:p>
    <w:p w14:paraId="5CE977B4">
      <w:pPr>
        <w:numPr>
          <w:ilvl w:val="0"/>
          <w:numId w:val="1"/>
        </w:numPr>
        <w:ind w:left="0" w:leftChars="0" w:firstLine="42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项目概况</w:t>
      </w:r>
    </w:p>
    <w:p w14:paraId="51907EB1">
      <w:pPr>
        <w:numPr>
          <w:numId w:val="0"/>
        </w:numPr>
        <w:spacing w:line="360" w:lineRule="auto"/>
        <w:ind w:firstLine="480" w:firstLineChars="200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为推进智慧医院建设、深化紧密型城市医疗集团与医联体分级诊疗落地、完善全域慢病及脑健康精细化管理体系，落实健康中国全周期健康管理战略，我院拟建设脑电、心电、血压、血氧、血糖五参数生命体征“一张网”信息系统。系统将整合神经脑功能、心血管、代谢性慢病多维度监测能力，打通院内临床科室、重症监护、门诊体检、急诊急救与社区医联体、居家健康监测数据壁垒，实现多体征数据统一采集、智能分析、全域协同、闭环管理。现面向市场公开调研，征集成熟、可落地的技术方案、软硬件产品及配套服务能力，诚邀符合资质条件的厂商参与本次市场调研工作。</w:t>
      </w:r>
    </w:p>
    <w:p w14:paraId="3D6026D3">
      <w:pPr>
        <w:numPr>
          <w:ilvl w:val="0"/>
          <w:numId w:val="1"/>
        </w:numPr>
        <w:ind w:left="0" w:leftChars="0" w:firstLine="42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bookmarkStart w:id="0" w:name="heading_3"/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 xml:space="preserve"> 建设目标</w:t>
      </w:r>
      <w:bookmarkEnd w:id="0"/>
    </w:p>
    <w:p w14:paraId="71BAB447">
      <w:pPr>
        <w:numPr>
          <w:ilvl w:val="0"/>
          <w:numId w:val="2"/>
        </w:numPr>
        <w:spacing w:line="360" w:lineRule="auto"/>
        <w:ind w:left="0" w:leftChars="0" w:firstLine="400" w:firstLineChars="0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构建统一采集、统一标准、统一存储、统一质控、统一应用的全域生命体征数据中台，整合脑电、心电、血压、血氧、血糖五大核心生命体征数据，彻底破除各类监测系统数据孤岛。覆盖院内全临床场景、医联体基层机构、居家患者全场景，实现多参数数据自动采集、实时传输、AI智能辅助分析、分级危急值预警、标准化报告输出、全流程闭环质控。</w:t>
      </w:r>
    </w:p>
    <w:p w14:paraId="4D0DBC5C">
      <w:pPr>
        <w:numPr>
          <w:ilvl w:val="0"/>
          <w:numId w:val="2"/>
        </w:numPr>
        <w:spacing w:line="360" w:lineRule="auto"/>
        <w:ind w:left="0" w:leftChars="0" w:firstLine="400" w:firstLineChars="0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深度支撑远程脑电诊疗、心电协同诊断、代谢慢病网格化管理、胸痛中心急救、高原脑健康帮扶、基层医疗能力提升、双向转诊、科研数据挖掘等核心业务，与医院HIS、EMR、LIS、PACS、急诊系统、重症系统、公卫健康档案系统深度集成，实现数据同源、结果全域互认、全程可追溯，打造可复制、可推广的区域多病种、多体征一体化智慧医疗管理标杆。</w:t>
      </w:r>
    </w:p>
    <w:p w14:paraId="3A2AC5F0">
      <w:pPr>
        <w:numPr>
          <w:ilvl w:val="0"/>
          <w:numId w:val="1"/>
        </w:numPr>
        <w:ind w:left="0" w:leftChars="0" w:firstLine="42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bookmarkStart w:id="1" w:name="heading_4"/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核心覆盖场景</w:t>
      </w:r>
      <w:bookmarkEnd w:id="1"/>
    </w:p>
    <w:p w14:paraId="2C91A13D">
      <w:pPr>
        <w:numPr>
          <w:ilvl w:val="0"/>
          <w:numId w:val="3"/>
        </w:numPr>
        <w:bidi w:val="0"/>
        <w:ind w:left="0" w:leftChars="0" w:firstLine="420" w:firstLineChars="0"/>
        <w:rPr>
          <w:sz w:val="28"/>
          <w:szCs w:val="28"/>
        </w:rPr>
      </w:pPr>
      <w:bookmarkStart w:id="2" w:name="heading_5"/>
      <w:r>
        <w:rPr>
          <w:sz w:val="28"/>
          <w:szCs w:val="28"/>
        </w:rPr>
        <w:t>院内场景</w:t>
      </w:r>
      <w:bookmarkEnd w:id="2"/>
    </w:p>
    <w:p w14:paraId="19026EBA">
      <w:pPr>
        <w:numPr>
          <w:numId w:val="0"/>
        </w:numPr>
        <w:spacing w:line="360" w:lineRule="auto"/>
        <w:ind w:firstLine="480" w:firstLineChars="200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门诊常规检查、住院床旁实时监测、ICU重症监护、急诊急救绿色通道、体检中心筛查、专科专病（神经内科、心内科、内分泌科、老年科、儿科、睡眠科）精准诊疗、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围手术期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风险管控。</w:t>
      </w:r>
    </w:p>
    <w:p w14:paraId="452F5E78">
      <w:pPr>
        <w:numPr>
          <w:ilvl w:val="0"/>
          <w:numId w:val="3"/>
        </w:numPr>
        <w:bidi w:val="0"/>
        <w:ind w:left="0" w:leftChars="0" w:firstLine="420" w:firstLineChars="0"/>
        <w:rPr>
          <w:sz w:val="28"/>
          <w:szCs w:val="28"/>
        </w:rPr>
      </w:pPr>
      <w:bookmarkStart w:id="3" w:name="heading_6"/>
      <w:r>
        <w:rPr>
          <w:sz w:val="28"/>
          <w:szCs w:val="28"/>
        </w:rPr>
        <w:t>院外场景</w:t>
      </w:r>
      <w:bookmarkEnd w:id="3"/>
    </w:p>
    <w:p w14:paraId="1BDEAEA0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医联体区县医院、乡镇卫生院、社区卫生服务中心、高原对口支援医疗机构筛查诊断；居家患者慢病随访、脑健康监测、心血管及代谢疾病长效管理；区域分级诊疗、远程会诊、MDT多学科协作。</w:t>
      </w:r>
    </w:p>
    <w:p w14:paraId="2A017A15">
      <w:pPr>
        <w:numPr>
          <w:ilvl w:val="0"/>
          <w:numId w:val="1"/>
        </w:numPr>
        <w:ind w:left="0" w:leftChars="0" w:firstLine="42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bookmarkStart w:id="4" w:name="heading_7"/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建设内容与核心技术要求</w:t>
      </w:r>
      <w:bookmarkEnd w:id="4"/>
    </w:p>
    <w:p w14:paraId="1D13F02B">
      <w:pPr>
        <w:numPr>
          <w:ilvl w:val="0"/>
          <w:numId w:val="4"/>
        </w:numPr>
        <w:bidi w:val="0"/>
        <w:ind w:left="0" w:leftChars="0" w:firstLine="420" w:firstLineChars="0"/>
        <w:rPr>
          <w:sz w:val="28"/>
          <w:szCs w:val="28"/>
        </w:rPr>
      </w:pPr>
      <w:bookmarkStart w:id="5" w:name="heading_8"/>
      <w:r>
        <w:rPr>
          <w:sz w:val="28"/>
          <w:szCs w:val="28"/>
        </w:rPr>
        <w:t>统一数据中台管理平台（核心底座）</w:t>
      </w:r>
      <w:bookmarkEnd w:id="5"/>
    </w:p>
    <w:p w14:paraId="710231F9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搭建全域五参数生命体征统一管理平台，作为脑电、心电、血压、血氧、血糖数据汇聚、分析、应用的唯一核心载体，兼容多品牌、多类型监测设备接入，满足医疗合规与长期迭代需求。</w:t>
      </w:r>
    </w:p>
    <w:p w14:paraId="1C7E35E5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多终端统一接入网关：支持脑电设备、心电设备、血压设备、血氧设备、血糖设备（床旁、动态、居家、穿戴式）全品类接入，兼容串口、网口、Wi-Fi、蓝牙、4G/5G、MQTT等传输协议，支持设备离线采集、加密缓存、断点续传，适配高原、偏远基层弱网络场景。</w:t>
      </w:r>
    </w:p>
    <w:p w14:paraId="28B55F82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标准化数据体系：遵循HL7 FHIR、IHE-PCD、LOINC、DICOM等国家医疗数据标准，统一五类体征数据采集、存储、解析、输出标准，构建高原专属脑电、慢病体征标准化数据字典。</w:t>
      </w:r>
    </w:p>
    <w:p w14:paraId="4293E4B6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全域质控管理：实现数据采集完整性、信号质量、参数有效性自动校验，针对脑电伪差、心电干扰、血糖异常波动等问题智能筛查，支持人工复核、质控评分、不合格数据退回重采，形成全流程质控闭环。</w:t>
      </w:r>
    </w:p>
    <w:p w14:paraId="72A0A12E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统一报告管理：支持多类型诊疗报告模板自定义、AI辅助生成、医师分级审核、电子签名、统一归档、全域互认，适配脑电、心电、慢病监测差异化报告需求。</w:t>
      </w:r>
    </w:p>
    <w:p w14:paraId="4B9FFB08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分级权限与溯源管理：搭建总院-基层机构-科室-个人四级权限体系，实现数据调取、导出、修改、操作全程留痕，满足网络安全等级保护、医疗隐私合规要求。</w:t>
      </w:r>
    </w:p>
    <w:p w14:paraId="2899DE6D">
      <w:pPr>
        <w:numPr>
          <w:ilvl w:val="0"/>
          <w:numId w:val="4"/>
        </w:numPr>
        <w:bidi w:val="0"/>
        <w:ind w:left="0" w:leftChars="0" w:firstLine="420" w:firstLineChars="0"/>
        <w:rPr>
          <w:sz w:val="28"/>
          <w:szCs w:val="28"/>
        </w:rPr>
      </w:pPr>
      <w:bookmarkStart w:id="6" w:name="heading_9"/>
      <w:r>
        <w:rPr>
          <w:sz w:val="28"/>
          <w:szCs w:val="28"/>
        </w:rPr>
        <w:t>五大核心业务功能模块</w:t>
      </w:r>
      <w:bookmarkEnd w:id="6"/>
    </w:p>
    <w:p w14:paraId="5CCA5CBA">
      <w:pPr>
        <w:numPr>
          <w:ilvl w:val="0"/>
          <w:numId w:val="5"/>
        </w:numPr>
        <w:spacing w:line="360" w:lineRule="auto"/>
        <w:ind w:left="0" w:leftChars="0" w:firstLine="400" w:firstLineChars="0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bookmarkStart w:id="7" w:name="heading_10"/>
      <w:r>
        <w:rPr>
          <w:rFonts w:hint="default" w:ascii="宋体" w:hAnsi="宋体" w:eastAsia="宋体" w:cs="宋体"/>
          <w:sz w:val="24"/>
          <w:szCs w:val="24"/>
          <w:lang w:val="en-US" w:eastAsia="zh-CN"/>
        </w:rPr>
        <w:t xml:space="preserve"> 远程脑电诊疗模块</w:t>
      </w:r>
      <w:bookmarkEnd w:id="7"/>
    </w:p>
    <w:p w14:paraId="14AFB14B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适配普通脑电、长时视频脑电、睡眠脑电监测全业务，支持基层离线采集+加密回传、远程实时读图、在线质控、极速预警、分级诊断。建立常规、疑难、危急三级诊疗机制，可识别癫痫放电、脑电重度抑制等危急值并自动预警；搭建高原脑电专病数据库，收录高原特异性脑病、脑损伤病例及配套基线数据，支撑临床诊疗、科研分析、AI模型训练；配套基层技师实操培训、常态化质控复盘功能。</w:t>
      </w:r>
    </w:p>
    <w:p w14:paraId="6192494E">
      <w:pPr>
        <w:numPr>
          <w:ilvl w:val="0"/>
          <w:numId w:val="5"/>
        </w:numPr>
        <w:spacing w:line="360" w:lineRule="auto"/>
        <w:ind w:left="0" w:leftChars="0" w:firstLine="400" w:firstLineChars="0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bookmarkStart w:id="8" w:name="heading_11"/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全域心电诊断模块</w:t>
      </w:r>
      <w:bookmarkEnd w:id="8"/>
    </w:p>
    <w:p w14:paraId="0B441335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覆盖静态常规心电、24小时动态心电、心电+血压二合一监测业务，实现基层检查、总院同质诊断、结果全域互认。内置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心肌梗死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、恶性心律失常等危急心电智能识别预警，联动胸痛中心急救体系，实现“患者未到、信息先到”；支持慢病患者心电常态化筛查、心血管并发症风险预判，适配急危重症救治与慢病长效管理双场景。</w:t>
      </w:r>
    </w:p>
    <w:p w14:paraId="2A9FA99B">
      <w:pPr>
        <w:numPr>
          <w:ilvl w:val="0"/>
          <w:numId w:val="5"/>
        </w:numPr>
        <w:spacing w:line="360" w:lineRule="auto"/>
        <w:ind w:left="0" w:leftChars="0" w:firstLine="400" w:firstLineChars="0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bookmarkStart w:id="9" w:name="heading_12"/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血压智能管理模块</w:t>
      </w:r>
      <w:bookmarkEnd w:id="9"/>
    </w:p>
    <w:p w14:paraId="7400D1CB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整合诊室血压、动态血压、居家血压全场景数据，自动归档血压数据、分析昼夜节律、统计平均压及异常波动规律。建立黄橙红三级预警机制，关联血糖、心电数据实现多病联动风险评估，支撑高血压分级管理、随访干预、并发症筛查。</w:t>
      </w:r>
    </w:p>
    <w:p w14:paraId="341AECA4">
      <w:pPr>
        <w:numPr>
          <w:ilvl w:val="0"/>
          <w:numId w:val="5"/>
        </w:numPr>
        <w:spacing w:line="360" w:lineRule="auto"/>
        <w:ind w:left="0" w:leftChars="0" w:firstLine="400" w:firstLineChars="0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bookmarkStart w:id="10" w:name="heading_13"/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血氧监测管理模块</w:t>
      </w:r>
      <w:bookmarkEnd w:id="10"/>
    </w:p>
    <w:p w14:paraId="2877E6D2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支持院内床旁、居家、高原场景血氧数据连续采集与离散记录，实时展示血氧变化趋势，自动识别低血氧异常并触发预警。重点适配高原脑功能损伤、呼吸及心血管疾病患者监测需求，为高原人群脑健康、心肺功能评估提供数据支撑。</w:t>
      </w:r>
    </w:p>
    <w:p w14:paraId="69540B8F">
      <w:pPr>
        <w:numPr>
          <w:ilvl w:val="0"/>
          <w:numId w:val="5"/>
        </w:numPr>
        <w:spacing w:line="360" w:lineRule="auto"/>
        <w:ind w:left="0" w:leftChars="0" w:firstLine="400" w:firstLineChars="0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bookmarkStart w:id="11" w:name="heading_14"/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血糖慢病管理模块</w:t>
      </w:r>
      <w:bookmarkEnd w:id="11"/>
    </w:p>
    <w:p w14:paraId="58FC05EB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构建“院内+院外”血糖双网管理体系，院内实现各病区血糖、动态血糖（CGM）、胰岛素泵（CSII）数据联动，搭建虚拟病区同质化管理模式；院外覆盖医联体及居家患者，实现血糖数据自动上传、异常预警、个性化健康处方、智能随访、双向转诊。支持血糖、血压、心电数据联动分析，精准预判代谢性疾病心血管并发症风险。</w:t>
      </w:r>
    </w:p>
    <w:p w14:paraId="24B66976">
      <w:pPr>
        <w:numPr>
          <w:ilvl w:val="0"/>
          <w:numId w:val="4"/>
        </w:numPr>
        <w:bidi w:val="0"/>
        <w:ind w:left="0" w:leftChars="0" w:firstLine="420" w:firstLineChars="0"/>
        <w:rPr>
          <w:sz w:val="28"/>
          <w:szCs w:val="28"/>
        </w:rPr>
      </w:pPr>
      <w:bookmarkStart w:id="12" w:name="heading_15"/>
      <w:r>
        <w:rPr>
          <w:sz w:val="28"/>
          <w:szCs w:val="28"/>
        </w:rPr>
        <w:t>特色拓展功能</w:t>
      </w:r>
      <w:bookmarkEnd w:id="12"/>
    </w:p>
    <w:p w14:paraId="08E03759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AI智能赋能体系：搭载AI脑电伪差识别、异常波形预警、心电智能诊断、血糖血压趋势分析、风险智能预判功能，构建高原专属脑电风险预测模型，提升诊疗与筛查效率。</w:t>
      </w:r>
    </w:p>
    <w:p w14:paraId="17361A0A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远程会诊与MDT协作：支持音视频远程会诊，同步调阅患者多体征数据、病历、检查报告，支持多学科联合诊疗、专家指派、超时提醒、会诊记录全程归档。</w:t>
      </w:r>
    </w:p>
    <w:p w14:paraId="17ED7EBF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居家健康闭环管理：配套患者端小程序/APP，实现数据自动上传、用药/监测/复诊智能提醒、个性化健康宣教、在线咨询；医护端可制定随访计划、记录干预情况、开展慢病分层管理。</w:t>
      </w:r>
    </w:p>
    <w:p w14:paraId="68960441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大数据决策与绩效考核：搭建全域数据大屏，多维度统计分析科室工作量、设备利用率、异常检出率、慢病达标率、基层诊疗质量等核心指标，自动生成质控报告，支持医联体绩效考核与管理决策。</w:t>
      </w:r>
    </w:p>
    <w:p w14:paraId="5376F076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分层培训与质控体系：内置基层人员培训、考核、能力台账管理功能，支持线上示教、实操督导、月度质控复盘、季度案例研讨，长效提升基层诊疗能力。</w:t>
      </w:r>
    </w:p>
    <w:p w14:paraId="05AB8918">
      <w:pPr>
        <w:numPr>
          <w:ilvl w:val="0"/>
          <w:numId w:val="4"/>
        </w:numPr>
        <w:bidi w:val="0"/>
        <w:ind w:left="0" w:leftChars="0" w:firstLine="420" w:firstLineChars="0"/>
        <w:rPr>
          <w:sz w:val="28"/>
          <w:szCs w:val="28"/>
        </w:rPr>
      </w:pPr>
      <w:bookmarkStart w:id="13" w:name="heading_16"/>
      <w:r>
        <w:rPr>
          <w:sz w:val="28"/>
          <w:szCs w:val="28"/>
        </w:rPr>
        <w:t>系统集成与接口要求</w:t>
      </w:r>
      <w:bookmarkEnd w:id="13"/>
    </w:p>
    <w:p w14:paraId="1841F19E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需与医院现有HIS、EMR、LIS、PACS、急诊系统、重症监护系统、体检系统、公卫健康档案系统、医保系统完成深度对接，数据自动回写病历，实现业务无缝衔接。</w:t>
      </w:r>
    </w:p>
    <w:p w14:paraId="10570642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支持医联体、对口支援医疗机构平台对接，实现跨机构数据共享、检查预约、双向转诊、业务协同。</w:t>
      </w:r>
    </w:p>
    <w:p w14:paraId="3E4A91F6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提供标准化开放API接口，预留扩容空间，支持后续接入体温、呼吸、血脂等更多体征数据，保障系统长期可拓展性。</w:t>
      </w:r>
    </w:p>
    <w:p w14:paraId="22AA49A3">
      <w:pPr>
        <w:numPr>
          <w:ilvl w:val="0"/>
          <w:numId w:val="4"/>
        </w:numPr>
        <w:bidi w:val="0"/>
        <w:ind w:left="0" w:leftChars="0" w:firstLine="420" w:firstLineChars="0"/>
        <w:rPr>
          <w:sz w:val="28"/>
          <w:szCs w:val="28"/>
        </w:rPr>
      </w:pPr>
      <w:bookmarkStart w:id="14" w:name="heading_17"/>
      <w:r>
        <w:rPr>
          <w:sz w:val="28"/>
          <w:szCs w:val="28"/>
        </w:rPr>
        <w:t>网络与数据安全要求</w:t>
      </w:r>
      <w:bookmarkEnd w:id="14"/>
    </w:p>
    <w:p w14:paraId="7F8B0EE5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适配院内物联网专网、加密互联网传输，支持终端接入认证、数据传输加密、存储加密、离线加密归档，杜绝隐私数据外泄。</w:t>
      </w:r>
    </w:p>
    <w:p w14:paraId="2BCE601E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严格满足网络安全等级保护三级、《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中华人民共和国个人信息保护法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》《医疗卫生机构网络安全管理办法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》等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合规要求，所有诊疗数据、患者隐私全程可追溯。</w:t>
      </w:r>
    </w:p>
    <w:p w14:paraId="1C329D08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配备服务器冗余、数据备份、容灾机制，支持7×24小时不间断稳定运行，适配急诊急救、重症监测、远程诊疗实时性需求。</w:t>
      </w:r>
    </w:p>
    <w:p w14:paraId="4352E7E1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科研数据自动脱敏处理，严格执行医疗科研伦理审查制度，严禁数据商用、私自外泄。</w:t>
      </w:r>
    </w:p>
    <w:p w14:paraId="0044ED7C">
      <w:pPr>
        <w:numPr>
          <w:ilvl w:val="0"/>
          <w:numId w:val="4"/>
        </w:numPr>
        <w:bidi w:val="0"/>
        <w:ind w:left="0" w:leftChars="0" w:firstLine="420" w:firstLineChars="0"/>
        <w:rPr>
          <w:sz w:val="28"/>
          <w:szCs w:val="28"/>
        </w:rPr>
      </w:pPr>
      <w:bookmarkStart w:id="15" w:name="heading_18"/>
      <w:r>
        <w:rPr>
          <w:sz w:val="28"/>
          <w:szCs w:val="28"/>
        </w:rPr>
        <w:t>终端适配要求</w:t>
      </w:r>
      <w:bookmarkEnd w:id="15"/>
    </w:p>
    <w:p w14:paraId="7562FDA8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支持院内现有脑电、心电、血糖、血压、血氧设备利旧接入，无需大规模更换硬件，降低改造成本。</w:t>
      </w:r>
    </w:p>
    <w:p w14:paraId="66115630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新增医疗终端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须具备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正规医疗器械资质，数据精准度符合临床诊疗标准，适配基层、高原复杂使用场景。</w:t>
      </w:r>
    </w:p>
    <w:p w14:paraId="0F2AB07B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居家终端需操作简便、续航稳定、自动上传数据，适配老年、偏远地区患者使用需求。</w:t>
      </w:r>
    </w:p>
    <w:p w14:paraId="220DF856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具有独立法人资格，营业执照合法有效，具备医疗信息化、医疗物联网相关经营范围，无经营异常记录。</w:t>
      </w:r>
    </w:p>
    <w:p w14:paraId="66717F74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具备综合医院多参数生命体征一张网、远程脑电/心电诊疗、区域慢病管理平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台等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同类成功落地案例。</w:t>
      </w:r>
    </w:p>
    <w:p w14:paraId="6857BDE0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涉及硬件终端的厂商，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须具备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合法有效的医疗器械生产/经营资质；软件产品拥有自主知识产权、软件著作权及相关认证。</w:t>
      </w:r>
    </w:p>
    <w:p w14:paraId="257F99A7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具备完善的项目实施、技术培训、售后运维体系，可提供本地化7×24小时快速响应服务。</w:t>
      </w:r>
    </w:p>
    <w:p w14:paraId="076F19DD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近3年内无重大违法违规记录、无重大质量事故、无医疗信息化项目履约不良记录。</w:t>
      </w:r>
    </w:p>
    <w:p w14:paraId="51795158">
      <w:pPr>
        <w:numPr>
          <w:ilvl w:val="0"/>
          <w:numId w:val="1"/>
        </w:numPr>
        <w:ind w:left="0" w:leftChars="0" w:firstLine="42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bookmarkStart w:id="16" w:name="heading_19"/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调研提交材料（纸质盖章+电子版）</w:t>
      </w:r>
      <w:bookmarkEnd w:id="16"/>
    </w:p>
    <w:p w14:paraId="3B21DD59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所有材料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须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真实有效、清晰完整，纸质文件加盖企业公章，电子版同步提交，具体包含：</w:t>
      </w:r>
    </w:p>
    <w:p w14:paraId="289B6333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企业资质文件：营业执照、法人身份证明、法人授权委托书、医疗器械资质、软件知识产权证书、相关体系认证证书。</w:t>
      </w:r>
    </w:p>
    <w:p w14:paraId="274F1150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整体技术方案：项目总体架构、五大模块功能详解、数据标准体系、系统集成方案、网络安全方案、高原弱场景适配方案、实施部署计划、质控与培训体系。</w:t>
      </w:r>
    </w:p>
    <w:p w14:paraId="70EB6DEA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产品详细介绍：软硬件产品参数、核心功能、AI智能赋能能力、现有设备利旧方案、终端适配方案、系统扩容拓展能力。</w:t>
      </w:r>
    </w:p>
    <w:p w14:paraId="13E3504E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同类项目案例：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综合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医院同类一张网项目合同、验收报告、用户评价、项目成效证明材料。</w:t>
      </w:r>
    </w:p>
    <w:p w14:paraId="1B13AAC7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服务保障方案：项目实施团队配置、全流程培训方案、7×24小时运维保障、故障应急处置、系统升级、售后质保服务内容。</w:t>
      </w:r>
    </w:p>
    <w:p w14:paraId="0E8762EE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分项报价清单：包含软件平台、硬件设备、接口开发、系统部署、实施调试、培训、维保等全部费用明细及总价。</w:t>
      </w:r>
    </w:p>
    <w:p w14:paraId="5D608BD9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default"/>
          <w:sz w:val="30"/>
          <w:szCs w:val="30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项目优势与创新点：结合脑电诊疗、高原医疗、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慢性病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网格化管理、多参数融合管理的差异化优势、技术创新、落地亮点。</w:t>
      </w:r>
    </w:p>
    <w:p w14:paraId="6BB8159E">
      <w:pPr>
        <w:numPr>
          <w:ilvl w:val="0"/>
          <w:numId w:val="1"/>
        </w:numPr>
        <w:ind w:left="0" w:leftChars="0" w:firstLine="42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bookmarkStart w:id="17" w:name="heading_26"/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其他说明</w:t>
      </w:r>
      <w:bookmarkEnd w:id="17"/>
    </w:p>
    <w:p w14:paraId="0E682F11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本次调研为市场摸底工作，仅作为项目规划、方案优化、技术选型、预算编制的参考依据，不构成任何采购邀约、招标承诺。</w:t>
      </w:r>
    </w:p>
    <w:p w14:paraId="53E51B8A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所有提交材料必须真实合法，若存在虚假、伪造情况，直接取消厂商参与资格，纳入医院合作黑名单。</w:t>
      </w:r>
    </w:p>
    <w:p w14:paraId="0921EA22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我院有权对提交方案进行审核评估、组织现场答疑、要求厂商现场演示，相关产生的所有费用由厂商自行承担。</w:t>
      </w:r>
    </w:p>
    <w:p w14:paraId="319FC0F3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本次调研未尽事宜，由我院信息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统计部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解释。</w:t>
      </w:r>
    </w:p>
    <w:p w14:paraId="57F6BD2C">
      <w:pPr>
        <w:bidi w:val="0"/>
        <w:jc w:val="right"/>
        <w:rPr>
          <w:sz w:val="30"/>
          <w:szCs w:val="30"/>
        </w:rPr>
      </w:pPr>
      <w:r>
        <w:rPr>
          <w:rFonts w:hint="eastAsia"/>
          <w:sz w:val="30"/>
          <w:szCs w:val="30"/>
          <w:lang w:val="en-US" w:eastAsia="zh-CN"/>
        </w:rPr>
        <w:t xml:space="preserve"> </w:t>
      </w:r>
      <w:bookmarkStart w:id="18" w:name="_GoBack"/>
      <w:bookmarkEnd w:id="18"/>
    </w:p>
    <w:p w14:paraId="6612C66A">
      <w:pPr>
        <w:bidi w:val="0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 xml:space="preserve"> </w:t>
      </w:r>
    </w:p>
    <w:p w14:paraId="18C773DE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0FAAD68-0E4D-4118-AF99-A52CD1ED71C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3356C5BF-18A7-4021-B743-CCB9FF76BD19}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11F586A1-44E0-44C9-A9F3-21189A4BA818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41C471A"/>
    <w:multiLevelType w:val="singleLevel"/>
    <w:tmpl w:val="941C471A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1">
    <w:nsid w:val="C9E943C9"/>
    <w:multiLevelType w:val="singleLevel"/>
    <w:tmpl w:val="C9E943C9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2">
    <w:nsid w:val="E2AA4A70"/>
    <w:multiLevelType w:val="singleLevel"/>
    <w:tmpl w:val="E2AA4A70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3">
    <w:nsid w:val="050AA4CE"/>
    <w:multiLevelType w:val="singleLevel"/>
    <w:tmpl w:val="050AA4CE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4">
    <w:nsid w:val="2EA4232D"/>
    <w:multiLevelType w:val="singleLevel"/>
    <w:tmpl w:val="2EA4232D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1MWQ0NjBmODcxN2NjNTEzOWRkMWU5ZDZjNDc1ZDQifQ=="/>
  </w:docVars>
  <w:rsids>
    <w:rsidRoot w:val="43A63CED"/>
    <w:rsid w:val="02A43050"/>
    <w:rsid w:val="04E85352"/>
    <w:rsid w:val="07FE46F3"/>
    <w:rsid w:val="08674EF8"/>
    <w:rsid w:val="09862E1C"/>
    <w:rsid w:val="0D2041F6"/>
    <w:rsid w:val="12183726"/>
    <w:rsid w:val="1244104C"/>
    <w:rsid w:val="145E00B3"/>
    <w:rsid w:val="1B4233DB"/>
    <w:rsid w:val="1C550B58"/>
    <w:rsid w:val="1D8603A1"/>
    <w:rsid w:val="21C33CC9"/>
    <w:rsid w:val="230751DE"/>
    <w:rsid w:val="285B0625"/>
    <w:rsid w:val="30D90521"/>
    <w:rsid w:val="335257AD"/>
    <w:rsid w:val="348D5F2C"/>
    <w:rsid w:val="35F475EF"/>
    <w:rsid w:val="36193C1A"/>
    <w:rsid w:val="36781175"/>
    <w:rsid w:val="3D7C1ADB"/>
    <w:rsid w:val="409A576D"/>
    <w:rsid w:val="41B636AC"/>
    <w:rsid w:val="42F637F7"/>
    <w:rsid w:val="43054AC7"/>
    <w:rsid w:val="4376774B"/>
    <w:rsid w:val="43A63CED"/>
    <w:rsid w:val="494C6B32"/>
    <w:rsid w:val="49B90873"/>
    <w:rsid w:val="4C617D74"/>
    <w:rsid w:val="500D6A9E"/>
    <w:rsid w:val="50962F12"/>
    <w:rsid w:val="56E21C0C"/>
    <w:rsid w:val="5B7C721B"/>
    <w:rsid w:val="5C98311E"/>
    <w:rsid w:val="5CA21F50"/>
    <w:rsid w:val="6083374F"/>
    <w:rsid w:val="67A5501F"/>
    <w:rsid w:val="6DAF419E"/>
    <w:rsid w:val="731C73CE"/>
    <w:rsid w:val="74197352"/>
    <w:rsid w:val="79F2751F"/>
    <w:rsid w:val="7C3755ED"/>
    <w:rsid w:val="7CF90201"/>
    <w:rsid w:val="7F6A6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qFormat="1" w:uiPriority="39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iPriority="99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3"/>
    <w:basedOn w:val="1"/>
    <w:next w:val="1"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6">
    <w:name w:val="Default Paragraph Font"/>
    <w:autoRedefine/>
    <w:semiHidden/>
    <w:qFormat/>
    <w:uiPriority w:val="0"/>
  </w:style>
  <w:style w:type="table" w:default="1" w:styleId="1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next w:val="1"/>
    <w:unhideWhenUsed/>
    <w:qFormat/>
    <w:uiPriority w:val="0"/>
    <w:pPr>
      <w:spacing w:line="360" w:lineRule="auto"/>
      <w:ind w:firstLine="420" w:firstLineChars="200"/>
    </w:pPr>
    <w:rPr>
      <w:rFonts w:asciiTheme="minorHAnsi" w:hAnsiTheme="minorHAnsi"/>
      <w:sz w:val="24"/>
    </w:rPr>
  </w:style>
  <w:style w:type="paragraph" w:styleId="5">
    <w:name w:val="Body Text"/>
    <w:basedOn w:val="1"/>
    <w:next w:val="1"/>
    <w:unhideWhenUsed/>
    <w:qFormat/>
    <w:uiPriority w:val="99"/>
    <w:pPr>
      <w:spacing w:after="120"/>
    </w:pPr>
  </w:style>
  <w:style w:type="paragraph" w:styleId="6">
    <w:name w:val="Body Text Indent"/>
    <w:basedOn w:val="1"/>
    <w:next w:val="7"/>
    <w:qFormat/>
    <w:uiPriority w:val="0"/>
    <w:pPr>
      <w:spacing w:after="120" w:afterLines="0" w:afterAutospacing="0"/>
      <w:ind w:left="420" w:leftChars="200"/>
    </w:pPr>
  </w:style>
  <w:style w:type="paragraph" w:styleId="7">
    <w:name w:val="envelope return"/>
    <w:basedOn w:val="1"/>
    <w:unhideWhenUsed/>
    <w:qFormat/>
    <w:uiPriority w:val="99"/>
    <w:pPr>
      <w:snapToGrid w:val="0"/>
    </w:pPr>
    <w:rPr>
      <w:rFonts w:ascii="Arial" w:hAnsi="Arial"/>
    </w:rPr>
  </w:style>
  <w:style w:type="paragraph" w:styleId="8">
    <w:name w:val="Body Text Indent 2"/>
    <w:basedOn w:val="1"/>
    <w:qFormat/>
    <w:uiPriority w:val="0"/>
    <w:pPr>
      <w:ind w:firstLine="585"/>
    </w:pPr>
    <w:rPr>
      <w:rFonts w:ascii="宋体" w:eastAsia="宋体"/>
      <w:sz w:val="30"/>
      <w:szCs w:val="20"/>
    </w:rPr>
  </w:style>
  <w:style w:type="paragraph" w:styleId="9">
    <w:name w:val="toc 1"/>
    <w:basedOn w:val="1"/>
    <w:next w:val="1"/>
    <w:qFormat/>
    <w:uiPriority w:val="39"/>
    <w:pPr>
      <w:ind w:left="50" w:leftChars="50"/>
    </w:pPr>
    <w:rPr>
      <w:rFonts w:ascii="Calibri" w:hAnsi="Calibri"/>
      <w:kern w:val="0"/>
    </w:rPr>
  </w:style>
  <w:style w:type="paragraph" w:styleId="10">
    <w:name w:val="toc 6"/>
    <w:basedOn w:val="1"/>
    <w:next w:val="1"/>
    <w:unhideWhenUsed/>
    <w:qFormat/>
    <w:uiPriority w:val="39"/>
    <w:pPr>
      <w:ind w:left="2100" w:leftChars="1000"/>
    </w:pPr>
    <w:rPr>
      <w:szCs w:val="22"/>
    </w:rPr>
  </w:style>
  <w:style w:type="paragraph" w:styleId="11">
    <w:name w:val="Title"/>
    <w:basedOn w:val="1"/>
    <w:next w:val="1"/>
    <w:qFormat/>
    <w:uiPriority w:val="10"/>
    <w:pPr>
      <w:spacing w:before="60" w:after="60"/>
      <w:jc w:val="left"/>
      <w:outlineLvl w:val="2"/>
    </w:pPr>
    <w:rPr>
      <w:rFonts w:asciiTheme="majorHAnsi" w:hAnsiTheme="majorHAnsi" w:eastAsiaTheme="majorEastAsia" w:cstheme="majorBidi"/>
      <w:b/>
      <w:bCs/>
      <w:sz w:val="28"/>
      <w:szCs w:val="32"/>
    </w:rPr>
  </w:style>
  <w:style w:type="paragraph" w:styleId="12">
    <w:name w:val="Body Text First Indent"/>
    <w:basedOn w:val="5"/>
    <w:unhideWhenUsed/>
    <w:qFormat/>
    <w:uiPriority w:val="99"/>
    <w:pPr>
      <w:ind w:firstLine="420" w:firstLineChars="100"/>
    </w:pPr>
  </w:style>
  <w:style w:type="paragraph" w:styleId="13">
    <w:name w:val="Body Text First Indent 2"/>
    <w:basedOn w:val="6"/>
    <w:next w:val="12"/>
    <w:qFormat/>
    <w:uiPriority w:val="0"/>
    <w:pPr>
      <w:ind w:firstLine="420" w:firstLineChars="200"/>
    </w:pPr>
  </w:style>
  <w:style w:type="table" w:styleId="15">
    <w:name w:val="Table Grid"/>
    <w:basedOn w:val="1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7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Times New Roman"/>
      <w:lang w:val="en-US" w:eastAsia="zh-CN" w:bidi="ar-SA"/>
    </w:rPr>
  </w:style>
  <w:style w:type="paragraph" w:customStyle="1" w:styleId="18">
    <w:name w:val="BodyText"/>
    <w:basedOn w:val="1"/>
    <w:next w:val="1"/>
    <w:qFormat/>
    <w:uiPriority w:val="0"/>
    <w:pPr>
      <w:spacing w:after="120"/>
    </w:pPr>
  </w:style>
  <w:style w:type="paragraph" w:styleId="19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20">
    <w:name w:val="正文_0"/>
    <w:qFormat/>
    <w:uiPriority w:val="0"/>
    <w:pPr>
      <w:widowControl w:val="0"/>
      <w:jc w:val="both"/>
    </w:pPr>
    <w:rPr>
      <w:rFonts w:ascii="Times New Roman" w:hAnsi="Times New Roman" w:eastAsia="宋体" w:cs="Times New Roman"/>
      <w:szCs w:val="24"/>
      <w:lang w:val="en-US" w:eastAsia="zh-CN" w:bidi="ar-SA"/>
    </w:rPr>
  </w:style>
  <w:style w:type="paragraph" w:customStyle="1" w:styleId="21">
    <w:name w:val="正文1"/>
    <w:basedOn w:val="22"/>
    <w:qFormat/>
    <w:uiPriority w:val="0"/>
    <w:pPr>
      <w:spacing w:line="318" w:lineRule="atLeast"/>
      <w:ind w:left="369" w:firstLine="369"/>
    </w:pPr>
    <w:rPr>
      <w:rFonts w:ascii="宋体"/>
    </w:rPr>
  </w:style>
  <w:style w:type="paragraph" w:customStyle="1" w:styleId="22">
    <w:name w:val="正文_1"/>
    <w:basedOn w:val="23"/>
    <w:qFormat/>
    <w:uiPriority w:val="0"/>
    <w:rPr>
      <w:rFonts w:cs="Calibri"/>
      <w:szCs w:val="21"/>
    </w:rPr>
  </w:style>
  <w:style w:type="paragraph" w:customStyle="1" w:styleId="23">
    <w:name w:val="正文_2"/>
    <w:basedOn w:val="24"/>
    <w:next w:val="30"/>
    <w:qFormat/>
    <w:uiPriority w:val="0"/>
  </w:style>
  <w:style w:type="paragraph" w:customStyle="1" w:styleId="24">
    <w:name w:val="正文_3"/>
    <w:next w:val="25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5">
    <w:name w:val="正文文本_1"/>
    <w:basedOn w:val="26"/>
    <w:unhideWhenUsed/>
    <w:qFormat/>
    <w:uiPriority w:val="0"/>
    <w:pPr>
      <w:spacing w:after="120"/>
    </w:pPr>
    <w:rPr>
      <w:rFonts w:eastAsia="宋体" w:cs="Times New Roman"/>
    </w:rPr>
  </w:style>
  <w:style w:type="paragraph" w:customStyle="1" w:styleId="26">
    <w:name w:val="正文_2_0"/>
    <w:basedOn w:val="27"/>
    <w:next w:val="25"/>
    <w:qFormat/>
    <w:uiPriority w:val="0"/>
    <w:rPr>
      <w:rFonts w:ascii="Calibri" w:hAnsi="Calibri"/>
      <w:sz w:val="21"/>
      <w:lang w:eastAsia="zh-CN"/>
    </w:rPr>
  </w:style>
  <w:style w:type="paragraph" w:customStyle="1" w:styleId="27">
    <w:name w:val="正文_3_0"/>
    <w:basedOn w:val="28"/>
    <w:qFormat/>
    <w:uiPriority w:val="0"/>
    <w:pPr>
      <w:autoSpaceDE w:val="0"/>
      <w:autoSpaceDN w:val="0"/>
    </w:pPr>
    <w:rPr>
      <w:rFonts w:ascii="仿宋" w:hAnsi="仿宋" w:eastAsia="仿宋" w:cs="仿宋"/>
      <w:sz w:val="22"/>
      <w:lang w:eastAsia="en-US"/>
    </w:rPr>
  </w:style>
  <w:style w:type="paragraph" w:customStyle="1" w:styleId="28">
    <w:name w:val="正文_4_0"/>
    <w:basedOn w:val="29"/>
    <w:qFormat/>
    <w:uiPriority w:val="0"/>
  </w:style>
  <w:style w:type="paragraph" w:customStyle="1" w:styleId="29">
    <w:name w:val="正文_4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0">
    <w:name w:val="无间隔1"/>
    <w:basedOn w:val="1"/>
    <w:next w:val="31"/>
    <w:qFormat/>
    <w:uiPriority w:val="1"/>
  </w:style>
  <w:style w:type="paragraph" w:customStyle="1" w:styleId="31">
    <w:name w:val="样式 标题 3 + (中文) 黑体 小四 非加粗 段前: 7.8 磅 段后: 0 磅 行距: 固定值 20 磅"/>
    <w:basedOn w:val="3"/>
    <w:qFormat/>
    <w:uiPriority w:val="0"/>
    <w:pPr>
      <w:spacing w:before="0" w:after="0" w:line="400" w:lineRule="exact"/>
    </w:pPr>
    <w:rPr>
      <w:rFonts w:ascii="Times New Roman" w:hAnsi="Times New Roman" w:eastAsia="黑体" w:cs="宋体"/>
      <w:b w:val="0"/>
      <w:sz w:val="21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1307</Words>
  <Characters>1347</Characters>
  <Lines>0</Lines>
  <Paragraphs>0</Paragraphs>
  <TotalTime>8</TotalTime>
  <ScaleCrop>false</ScaleCrop>
  <LinksUpToDate>false</LinksUpToDate>
  <CharactersWithSpaces>1347</CharactersWithSpaces>
  <Application>WPS Office_12.1.0.23122_F1E327BC-269C-435d-A152-05C5408002CA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2024-02-23T09:47:00Z</dcterms:created>
  <dc:creator>张三喵®ʕ·͡ˑ·ཻʔ</dc:creator>
  <cp:lastModifiedBy>张龙海</cp:lastModifiedBy>
  <dcterms:modified xsi:type="dcterms:W3CDTF">2026-08-24T06:43:22Z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2052-12.1.0.23122</vt:lpwstr>
  </property>
  <property fmtid="{D5CDD505-2E9C-101B-9397-08002B2CF9AE}" pid="3" name="ICV">
    <vt:lpwstr>55FFDAD5D5964861B3C144D195158EAE_13</vt:lpwstr>
  </property>
  <property fmtid="{D5CDD505-2E9C-101B-9397-08002B2CF9AE}" pid="4" name="KSOTemplateDocerSaveRecord">
    <vt:lpwstr>eyJoZGlkIjoiNDNmMGZiOTlkZWMzNjE0NjRjN2VmZGE2NzMyNzhhNGIiLCJ1c2VySWQiOiIxNjQ2MzQ3NDE5In0=</vt:lpwstr>
  </property>
</Properties>
</file>