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9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399"/>
        <w:gridCol w:w="1399"/>
        <w:gridCol w:w="855"/>
        <w:gridCol w:w="873"/>
        <w:gridCol w:w="1399"/>
        <w:gridCol w:w="31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项目序号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服务期限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维保方式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型号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维保服务功能需求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详见附件1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详见附件1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详见附件1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1、维保公司需具备提供维保设备的服务能力，维保公司提供设备全年不限次数的全保维修服务，维保服务费用包含一切与维保设备服务的相关费用。维保设备故障每次维</w:t>
            </w:r>
            <w:bookmarkStart w:id="0" w:name="_GoBack"/>
            <w:bookmarkEnd w:id="0"/>
            <w:r>
              <w:rPr>
                <w:rStyle w:val="4"/>
                <w:bdr w:val="none" w:color="auto" w:sz="0" w:space="0"/>
                <w:lang w:val="en-US" w:eastAsia="zh-CN" w:bidi="ar"/>
              </w:rPr>
              <w:t>修需出具维修报告和维修完成质量检查报告。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2、1个季度一次，全年4次的巡检服务；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3、服务响应时间：维保公司应在2小时内响应，24小时电话服务，24小时到现场处理问题，单根内镜在7天内不能修复需免费提供完好备用镜。如内镜出现2根同时损坏故障，维保公司在2天内免费提供完好备用镜1根，以供日常手术使用；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4、如未按规定时限配送备用镜，每次扣除保证金5%.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5、维保期结束后，维保服务报告整理成册后交设备管理科室保存。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6、请按软镜编号分别报价。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tbl>
      <w:tblPr>
        <w:tblW w:w="99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2176"/>
        <w:gridCol w:w="1076"/>
        <w:gridCol w:w="1056"/>
        <w:gridCol w:w="1476"/>
        <w:gridCol w:w="536"/>
        <w:gridCol w:w="859"/>
        <w:gridCol w:w="22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附件1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设备品牌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设备型号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机身号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购置时间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质保期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纤维输尿管软镜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STORZ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11278A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SN2241645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已过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纤维输尿管软镜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STORZ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11278A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SN2244868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已过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电子输尿管软镜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STORZ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11278V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SN45323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已过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电子输尿管软镜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STORZ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11278V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SN46255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已过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电子输尿管软镜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STORZ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11278V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SN51384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已过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纤维输尿管软镜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奥林巴斯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URF-P5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SN2544702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已过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纤维输尿管软镜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奥林巴斯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URF-P6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SN2137981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2022.12.24到期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8502C"/>
    <w:rsid w:val="2278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41"/>
    <w:basedOn w:val="3"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2021-12-27T00:21:00Z</dcterms:created>
  <dc:creator>医学装备科-肖婷</dc:creator>
  <cp:lastModifiedBy>医学装备科-肖婷</cp:lastModifiedBy>
  <dcterms:modified xsi:type="dcterms:W3CDTF">2021-12-27T00:23:17Z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3E2F118E12CF43959864157D9B677BDA</vt:lpwstr>
  </property>
</Properties>
</file>