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0DE" w:rsidRDefault="006830DE" w:rsidP="000D3FD6">
      <w:pPr>
        <w:pStyle w:val="TOC"/>
        <w:rPr>
          <w:rFonts w:ascii="仿宋" w:eastAsia="仿宋" w:hAnsi="仿宋"/>
          <w:b/>
        </w:rPr>
      </w:pPr>
    </w:p>
    <w:p w:rsidR="006830DE" w:rsidRPr="00BC460D" w:rsidRDefault="00C16575">
      <w:pPr>
        <w:jc w:val="center"/>
        <w:rPr>
          <w:rFonts w:ascii="仿宋" w:eastAsia="仿宋" w:hAnsi="仿宋"/>
          <w:b/>
          <w:sz w:val="32"/>
          <w:szCs w:val="32"/>
        </w:rPr>
      </w:pPr>
      <w:r w:rsidRPr="00BC460D">
        <w:rPr>
          <w:rFonts w:ascii="仿宋" w:eastAsia="仿宋" w:hAnsi="仿宋" w:hint="eastAsia"/>
          <w:b/>
          <w:sz w:val="32"/>
          <w:szCs w:val="32"/>
        </w:rPr>
        <w:t>成都市第五人民医院</w:t>
      </w:r>
    </w:p>
    <w:p w:rsidR="006830DE" w:rsidRPr="00BC460D" w:rsidRDefault="00AE6997">
      <w:pPr>
        <w:jc w:val="center"/>
        <w:rPr>
          <w:rFonts w:ascii="仿宋" w:eastAsia="仿宋" w:hAnsi="仿宋"/>
          <w:b/>
          <w:sz w:val="32"/>
          <w:szCs w:val="32"/>
        </w:rPr>
      </w:pPr>
      <w:r w:rsidRPr="00BC460D">
        <w:rPr>
          <w:rFonts w:ascii="仿宋" w:eastAsia="仿宋" w:hAnsi="仿宋" w:hint="eastAsia"/>
          <w:b/>
          <w:sz w:val="32"/>
          <w:szCs w:val="32"/>
        </w:rPr>
        <w:t>数据安全备份</w:t>
      </w:r>
      <w:r w:rsidR="00C16575" w:rsidRPr="00BC460D">
        <w:rPr>
          <w:rFonts w:ascii="仿宋" w:eastAsia="仿宋" w:hAnsi="仿宋" w:hint="eastAsia"/>
          <w:b/>
          <w:sz w:val="32"/>
          <w:szCs w:val="32"/>
        </w:rPr>
        <w:t>建设项目</w:t>
      </w:r>
      <w:r w:rsidR="002E003C">
        <w:rPr>
          <w:rFonts w:ascii="仿宋" w:eastAsia="仿宋" w:hAnsi="仿宋" w:hint="eastAsia"/>
          <w:b/>
          <w:sz w:val="32"/>
          <w:szCs w:val="32"/>
        </w:rPr>
        <w:t>市场调研参数</w:t>
      </w:r>
    </w:p>
    <w:p w:rsidR="00AE6997" w:rsidRDefault="00AE6997" w:rsidP="008133F3">
      <w:pPr>
        <w:pStyle w:val="1"/>
        <w:numPr>
          <w:ilvl w:val="0"/>
          <w:numId w:val="3"/>
        </w:numPr>
        <w:rPr>
          <w:rFonts w:ascii="仿宋" w:eastAsia="仿宋" w:hAnsi="仿宋"/>
          <w:sz w:val="28"/>
          <w:szCs w:val="28"/>
        </w:rPr>
      </w:pPr>
      <w:bookmarkStart w:id="0" w:name="_Toc2260783"/>
      <w:bookmarkStart w:id="1" w:name="_Toc82381509"/>
      <w:r>
        <w:rPr>
          <w:rFonts w:ascii="仿宋" w:eastAsia="仿宋" w:hAnsi="仿宋" w:hint="eastAsia"/>
          <w:sz w:val="28"/>
          <w:szCs w:val="28"/>
        </w:rPr>
        <w:t>数据安全备份建设</w:t>
      </w:r>
      <w:r w:rsidR="00C16575">
        <w:rPr>
          <w:rFonts w:ascii="仿宋" w:eastAsia="仿宋" w:hAnsi="仿宋" w:hint="eastAsia"/>
          <w:sz w:val="28"/>
          <w:szCs w:val="28"/>
        </w:rPr>
        <w:t>项目背景</w:t>
      </w:r>
      <w:bookmarkStart w:id="2" w:name="_Toc2260784"/>
      <w:bookmarkEnd w:id="0"/>
      <w:bookmarkEnd w:id="1"/>
    </w:p>
    <w:p w:rsidR="002C6CC0" w:rsidRPr="002C6CC0" w:rsidRDefault="002C6CC0" w:rsidP="002C6CC0">
      <w:pPr>
        <w:ind w:firstLineChars="200" w:firstLine="560"/>
        <w:rPr>
          <w:rFonts w:ascii="仿宋" w:eastAsia="仿宋" w:hAnsi="仿宋"/>
          <w:sz w:val="28"/>
          <w:szCs w:val="28"/>
        </w:rPr>
      </w:pPr>
      <w:r w:rsidRPr="002C6CC0">
        <w:rPr>
          <w:rFonts w:ascii="仿宋" w:eastAsia="仿宋" w:hAnsi="仿宋" w:hint="eastAsia"/>
          <w:sz w:val="28"/>
          <w:szCs w:val="28"/>
        </w:rPr>
        <w:t>随着信息技术的迅猛发展和单位信息化改革的不断深入，我院的正常运转严重依赖着各类信息系统的正常运行。如果说各类信息系统是“器官”，那么数据就是“血液”。值得一提的是，我们往往更重视业务系统的可用性和安全性，而忽略了数据的安全保护。然而，数据才是各类应用的中枢所在，当发生灾难时，网络、服务器等硬件设备可通过重启等手段快速恢复，但如数据已然丢失或损坏，应用系统依然不能对外提供服务。同时，随着大数据时代的到来，数据已经成为企业的核心资产。</w:t>
      </w:r>
    </w:p>
    <w:p w:rsidR="002C6CC0" w:rsidRPr="002C6CC0" w:rsidRDefault="002C6CC0" w:rsidP="002C6CC0">
      <w:pPr>
        <w:ind w:firstLineChars="200" w:firstLine="560"/>
        <w:rPr>
          <w:rFonts w:ascii="仿宋" w:eastAsia="仿宋" w:hAnsi="仿宋"/>
          <w:sz w:val="28"/>
          <w:szCs w:val="28"/>
        </w:rPr>
      </w:pPr>
      <w:r w:rsidRPr="002C6CC0">
        <w:rPr>
          <w:rFonts w:ascii="仿宋" w:eastAsia="仿宋" w:hAnsi="仿宋" w:hint="eastAsia"/>
          <w:sz w:val="28"/>
          <w:szCs w:val="28"/>
        </w:rPr>
        <w:t>而数据安全建设一直面临着诸如勒索病毒、恶意删库等各类威胁。边界安全防护是数据保护的基础；备份，是数据恢复的有效手段。只有进行了备份及其安全系统的建设，才能在灾难发生后快速恢复数据和系统，将灾难对信息系统造成的损害降低到最小。</w:t>
      </w:r>
    </w:p>
    <w:p w:rsidR="002C6CC0" w:rsidRPr="002C6CC0" w:rsidRDefault="002C6CC0" w:rsidP="002C6CC0">
      <w:pPr>
        <w:ind w:firstLineChars="200" w:firstLine="560"/>
        <w:rPr>
          <w:rFonts w:ascii="仿宋" w:eastAsia="仿宋" w:hAnsi="仿宋"/>
          <w:sz w:val="28"/>
          <w:szCs w:val="28"/>
        </w:rPr>
      </w:pPr>
      <w:r w:rsidRPr="002C6CC0">
        <w:rPr>
          <w:rFonts w:ascii="仿宋" w:eastAsia="仿宋" w:hAnsi="仿宋" w:hint="eastAsia"/>
          <w:sz w:val="28"/>
          <w:szCs w:val="28"/>
        </w:rPr>
        <w:t>政策层面，《 信息安全技术 信息系统安全等级保护基本要求》即等保2.0也明确规定对于重要业务系统数据备份以及数据安全的要求。</w:t>
      </w:r>
    </w:p>
    <w:p w:rsidR="002C6CC0" w:rsidRPr="002C6CC0" w:rsidRDefault="002C6CC0" w:rsidP="002C6CC0">
      <w:pPr>
        <w:ind w:firstLineChars="200" w:firstLine="560"/>
        <w:rPr>
          <w:rFonts w:ascii="仿宋" w:eastAsia="仿宋" w:hAnsi="仿宋"/>
          <w:sz w:val="28"/>
          <w:szCs w:val="28"/>
        </w:rPr>
      </w:pPr>
      <w:r w:rsidRPr="002C6CC0">
        <w:rPr>
          <w:rFonts w:ascii="仿宋" w:eastAsia="仿宋" w:hAnsi="仿宋" w:hint="eastAsia"/>
          <w:sz w:val="28"/>
          <w:szCs w:val="28"/>
        </w:rPr>
        <w:t>在这样的背景下，我单位拟通过内网出口安全建设以及备份系统</w:t>
      </w:r>
      <w:r w:rsidRPr="002C6CC0">
        <w:rPr>
          <w:rFonts w:ascii="仿宋" w:eastAsia="仿宋" w:hAnsi="仿宋" w:hint="eastAsia"/>
          <w:sz w:val="28"/>
          <w:szCs w:val="28"/>
        </w:rPr>
        <w:lastRenderedPageBreak/>
        <w:t>建设，来加强数据安全防护，确保医院核心资产的安全性。</w:t>
      </w:r>
    </w:p>
    <w:p w:rsidR="006830DE" w:rsidRDefault="00124285" w:rsidP="008133F3">
      <w:pPr>
        <w:pStyle w:val="1"/>
        <w:numPr>
          <w:ilvl w:val="0"/>
          <w:numId w:val="3"/>
        </w:numPr>
        <w:rPr>
          <w:rFonts w:ascii="仿宋" w:eastAsia="仿宋" w:hAnsi="仿宋"/>
          <w:sz w:val="28"/>
          <w:szCs w:val="28"/>
        </w:rPr>
      </w:pPr>
      <w:bookmarkStart w:id="3" w:name="_Toc82381512"/>
      <w:bookmarkEnd w:id="2"/>
      <w:r>
        <w:rPr>
          <w:rFonts w:ascii="仿宋" w:eastAsia="仿宋" w:hAnsi="仿宋" w:hint="eastAsia"/>
          <w:sz w:val="28"/>
          <w:szCs w:val="28"/>
        </w:rPr>
        <w:t>数据安全备份</w:t>
      </w:r>
      <w:r w:rsidR="00C16575">
        <w:rPr>
          <w:rFonts w:ascii="仿宋" w:eastAsia="仿宋" w:hAnsi="仿宋" w:hint="eastAsia"/>
          <w:sz w:val="28"/>
          <w:szCs w:val="28"/>
        </w:rPr>
        <w:t>项目建设规划</w:t>
      </w:r>
      <w:bookmarkEnd w:id="3"/>
      <w:r w:rsidR="000D3FD6">
        <w:rPr>
          <w:rFonts w:ascii="仿宋" w:eastAsia="仿宋" w:hAnsi="仿宋" w:hint="eastAsia"/>
          <w:sz w:val="28"/>
          <w:szCs w:val="28"/>
        </w:rPr>
        <w:t>参考</w:t>
      </w:r>
    </w:p>
    <w:p w:rsidR="00AE6997" w:rsidRPr="00466EDA" w:rsidRDefault="00466EDA" w:rsidP="00466EDA">
      <w:pPr>
        <w:ind w:firstLineChars="200" w:firstLine="562"/>
        <w:rPr>
          <w:rFonts w:ascii="仿宋" w:eastAsia="仿宋" w:hAnsi="仿宋"/>
          <w:b/>
          <w:bCs/>
          <w:kern w:val="44"/>
          <w:sz w:val="28"/>
          <w:szCs w:val="28"/>
        </w:rPr>
      </w:pPr>
      <w:r>
        <w:rPr>
          <w:rFonts w:ascii="仿宋" w:eastAsia="仿宋" w:hAnsi="仿宋" w:hint="eastAsia"/>
          <w:b/>
          <w:bCs/>
          <w:kern w:val="44"/>
          <w:sz w:val="28"/>
          <w:szCs w:val="28"/>
        </w:rPr>
        <w:t>1、</w:t>
      </w:r>
      <w:r w:rsidR="00AE6997" w:rsidRPr="00466EDA">
        <w:rPr>
          <w:rFonts w:ascii="仿宋" w:eastAsia="仿宋" w:hAnsi="仿宋" w:hint="eastAsia"/>
          <w:b/>
          <w:bCs/>
          <w:kern w:val="44"/>
          <w:sz w:val="28"/>
          <w:szCs w:val="28"/>
        </w:rPr>
        <w:t>方案设计原则</w:t>
      </w:r>
    </w:p>
    <w:p w:rsidR="00AE6997" w:rsidRPr="008133F3" w:rsidRDefault="00AE6997" w:rsidP="008133F3">
      <w:pPr>
        <w:ind w:firstLineChars="200" w:firstLine="560"/>
        <w:rPr>
          <w:rFonts w:ascii="仿宋" w:eastAsia="仿宋" w:hAnsi="仿宋"/>
          <w:sz w:val="28"/>
          <w:szCs w:val="28"/>
        </w:rPr>
      </w:pPr>
      <w:r w:rsidRPr="00AE6997">
        <w:rPr>
          <w:rFonts w:ascii="仿宋" w:eastAsia="仿宋" w:hAnsi="仿宋" w:hint="eastAsia"/>
          <w:color w:val="000000"/>
          <w:sz w:val="28"/>
          <w:szCs w:val="28"/>
        </w:rPr>
        <w:tab/>
      </w:r>
      <w:r w:rsidRPr="008133F3">
        <w:rPr>
          <w:rFonts w:ascii="仿宋" w:eastAsia="仿宋" w:hAnsi="仿宋" w:hint="eastAsia"/>
          <w:sz w:val="28"/>
          <w:szCs w:val="28"/>
        </w:rPr>
        <w:t>根据我单位信息化现状和需求特点，在此次项目建设中，虚拟化备份方案从以下几点出发作为方案设计原则，从而保证整个方案的针对性和合理性。</w:t>
      </w:r>
    </w:p>
    <w:p w:rsidR="00AE6997" w:rsidRPr="00AE6997" w:rsidRDefault="00AE6997" w:rsidP="008133F3">
      <w:pPr>
        <w:pStyle w:val="2"/>
        <w:numPr>
          <w:ilvl w:val="2"/>
          <w:numId w:val="3"/>
        </w:numPr>
        <w:rPr>
          <w:rFonts w:ascii="仿宋" w:eastAsia="仿宋" w:hAnsi="仿宋" w:cs="Times New Roman"/>
          <w:b w:val="0"/>
          <w:bCs w:val="0"/>
          <w:color w:val="000000"/>
          <w:sz w:val="28"/>
          <w:szCs w:val="28"/>
        </w:rPr>
      </w:pPr>
      <w:bookmarkStart w:id="4" w:name="_Toc82379924"/>
      <w:bookmarkStart w:id="5" w:name="_Toc82381253"/>
      <w:bookmarkStart w:id="6" w:name="_Toc82381513"/>
      <w:r w:rsidRPr="00AE6997">
        <w:rPr>
          <w:rFonts w:ascii="仿宋" w:eastAsia="仿宋" w:hAnsi="仿宋" w:cs="Times New Roman" w:hint="eastAsia"/>
          <w:b w:val="0"/>
          <w:bCs w:val="0"/>
          <w:color w:val="000000"/>
          <w:sz w:val="28"/>
          <w:szCs w:val="28"/>
        </w:rPr>
        <w:t>高效性原则：虚拟化备份方案需要代表目前业内的先进水平，要求备份过程中不会对业务系统的正常运行产生任何影响，能够做到大量数据的快速备份与恢复。</w:t>
      </w:r>
      <w:bookmarkEnd w:id="4"/>
      <w:bookmarkEnd w:id="5"/>
      <w:bookmarkEnd w:id="6"/>
    </w:p>
    <w:p w:rsidR="00AE6997" w:rsidRPr="00AE6997" w:rsidRDefault="00AE6997" w:rsidP="008133F3">
      <w:pPr>
        <w:pStyle w:val="2"/>
        <w:numPr>
          <w:ilvl w:val="2"/>
          <w:numId w:val="3"/>
        </w:numPr>
        <w:rPr>
          <w:rFonts w:ascii="仿宋" w:eastAsia="仿宋" w:hAnsi="仿宋" w:cs="Times New Roman"/>
          <w:b w:val="0"/>
          <w:bCs w:val="0"/>
          <w:color w:val="000000"/>
          <w:sz w:val="28"/>
          <w:szCs w:val="28"/>
        </w:rPr>
      </w:pPr>
      <w:bookmarkStart w:id="7" w:name="_Toc82379925"/>
      <w:bookmarkStart w:id="8" w:name="_Toc82381254"/>
      <w:bookmarkStart w:id="9" w:name="_Toc82381514"/>
      <w:r w:rsidRPr="00AE6997">
        <w:rPr>
          <w:rFonts w:ascii="仿宋" w:eastAsia="仿宋" w:hAnsi="仿宋" w:cs="Times New Roman" w:hint="eastAsia"/>
          <w:b w:val="0"/>
          <w:bCs w:val="0"/>
          <w:color w:val="000000"/>
          <w:sz w:val="28"/>
          <w:szCs w:val="28"/>
        </w:rPr>
        <w:t>可扩展性原则：要求备份系统随着备份数据量的增长，具备灵活的在线扩展能力。</w:t>
      </w:r>
      <w:bookmarkEnd w:id="7"/>
      <w:bookmarkEnd w:id="8"/>
      <w:bookmarkEnd w:id="9"/>
    </w:p>
    <w:p w:rsidR="00AE6997" w:rsidRPr="00AE6997" w:rsidRDefault="00AE6997" w:rsidP="008133F3">
      <w:pPr>
        <w:pStyle w:val="2"/>
        <w:numPr>
          <w:ilvl w:val="2"/>
          <w:numId w:val="3"/>
        </w:numPr>
        <w:rPr>
          <w:rFonts w:ascii="仿宋" w:eastAsia="仿宋" w:hAnsi="仿宋" w:cs="Times New Roman"/>
          <w:b w:val="0"/>
          <w:bCs w:val="0"/>
          <w:color w:val="000000"/>
          <w:sz w:val="28"/>
          <w:szCs w:val="28"/>
        </w:rPr>
      </w:pPr>
      <w:bookmarkStart w:id="10" w:name="_Toc82379926"/>
      <w:bookmarkStart w:id="11" w:name="_Toc82381255"/>
      <w:bookmarkStart w:id="12" w:name="_Toc82381515"/>
      <w:r w:rsidRPr="00AE6997">
        <w:rPr>
          <w:rFonts w:ascii="仿宋" w:eastAsia="仿宋" w:hAnsi="仿宋" w:cs="Times New Roman" w:hint="eastAsia"/>
          <w:b w:val="0"/>
          <w:bCs w:val="0"/>
          <w:color w:val="000000"/>
          <w:sz w:val="28"/>
          <w:szCs w:val="28"/>
        </w:rPr>
        <w:t>稳定性原则：备份系统做为数据保护的一道屏障，本身应具备高可用，避免硬盘或设备故障造成的业务停顿。</w:t>
      </w:r>
      <w:bookmarkEnd w:id="10"/>
      <w:bookmarkEnd w:id="11"/>
      <w:bookmarkEnd w:id="12"/>
    </w:p>
    <w:p w:rsidR="00466EDA" w:rsidRDefault="00AE6997" w:rsidP="00466EDA">
      <w:pPr>
        <w:pStyle w:val="2"/>
        <w:numPr>
          <w:ilvl w:val="2"/>
          <w:numId w:val="3"/>
        </w:numPr>
        <w:rPr>
          <w:rFonts w:ascii="仿宋" w:eastAsia="仿宋" w:hAnsi="仿宋" w:cs="Times New Roman"/>
          <w:b w:val="0"/>
          <w:bCs w:val="0"/>
          <w:color w:val="000000"/>
          <w:sz w:val="28"/>
          <w:szCs w:val="28"/>
        </w:rPr>
      </w:pPr>
      <w:bookmarkStart w:id="13" w:name="_Toc82379927"/>
      <w:bookmarkStart w:id="14" w:name="_Toc82381256"/>
      <w:bookmarkStart w:id="15" w:name="_Toc82381516"/>
      <w:r w:rsidRPr="00AE6997">
        <w:rPr>
          <w:rFonts w:ascii="仿宋" w:eastAsia="仿宋" w:hAnsi="仿宋" w:cs="Times New Roman" w:hint="eastAsia"/>
          <w:b w:val="0"/>
          <w:bCs w:val="0"/>
          <w:color w:val="000000"/>
          <w:sz w:val="28"/>
          <w:szCs w:val="28"/>
        </w:rPr>
        <w:t>兼容性原则：备份系统针对上层的业务应用要实现无缝对接，兼容市面上主流的虚拟化技术。</w:t>
      </w:r>
      <w:bookmarkEnd w:id="13"/>
      <w:bookmarkEnd w:id="14"/>
      <w:bookmarkEnd w:id="15"/>
    </w:p>
    <w:p w:rsidR="00AE6997" w:rsidRDefault="00466EDA" w:rsidP="00466EDA">
      <w:pPr>
        <w:ind w:firstLineChars="200" w:firstLine="562"/>
        <w:rPr>
          <w:rFonts w:ascii="仿宋" w:eastAsia="仿宋" w:hAnsi="仿宋"/>
          <w:b/>
          <w:bCs/>
          <w:kern w:val="44"/>
          <w:sz w:val="28"/>
          <w:szCs w:val="28"/>
        </w:rPr>
      </w:pPr>
      <w:r w:rsidRPr="00466EDA">
        <w:rPr>
          <w:rFonts w:ascii="仿宋" w:eastAsia="仿宋" w:hAnsi="仿宋" w:hint="eastAsia"/>
          <w:b/>
          <w:bCs/>
          <w:kern w:val="44"/>
          <w:sz w:val="28"/>
          <w:szCs w:val="28"/>
        </w:rPr>
        <w:t>2、</w:t>
      </w:r>
      <w:r w:rsidR="00AE6997" w:rsidRPr="00466EDA">
        <w:rPr>
          <w:rFonts w:ascii="仿宋" w:eastAsia="仿宋" w:hAnsi="仿宋" w:hint="eastAsia"/>
          <w:b/>
          <w:bCs/>
          <w:kern w:val="44"/>
          <w:sz w:val="28"/>
          <w:szCs w:val="28"/>
        </w:rPr>
        <w:t>解决方案设计</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本次备份系统设计主要是对医院现有的虚拟化平台进行备份与恢复，解决由于人为误操作、病毒攻击、逻辑错误、硬件故障和自然灾害等原因造成的数据丢失，为用户业务系统提供安全保障。</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lastRenderedPageBreak/>
        <w:t>本方案设计后拓扑架构如下：</w:t>
      </w:r>
    </w:p>
    <w:p w:rsidR="00E215CA" w:rsidRPr="00335E18" w:rsidRDefault="00E215CA" w:rsidP="00E215CA">
      <w:pPr>
        <w:spacing w:line="360" w:lineRule="auto"/>
        <w:rPr>
          <w:rFonts w:ascii="宋体" w:hAnsi="宋体"/>
          <w:sz w:val="24"/>
          <w:lang/>
        </w:rPr>
      </w:pPr>
      <w:r w:rsidRPr="00335E18">
        <w:rPr>
          <w:rFonts w:ascii="宋体" w:hAnsi="宋体"/>
          <w:sz w:val="24"/>
          <w:lang/>
        </w:rPr>
        <w:object w:dxaOrig="15165" w:dyaOrig="8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45pt;height:224.15pt" o:ole="">
            <v:imagedata r:id="rId9" o:title=""/>
          </v:shape>
          <o:OLEObject Type="Embed" ProgID="Visio.Drawing.15" ShapeID="_x0000_i1025" DrawAspect="Content" ObjectID="_1694208392" r:id="rId10"/>
        </w:objec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本次备份在异地灾备中心部署一套分布式备份一体机,提供1</w:t>
      </w:r>
      <w:r w:rsidRPr="00E215CA">
        <w:rPr>
          <w:rFonts w:ascii="仿宋" w:eastAsia="仿宋" w:hAnsi="仿宋"/>
          <w:color w:val="000000"/>
          <w:sz w:val="28"/>
          <w:szCs w:val="28"/>
        </w:rPr>
        <w:t>00T</w:t>
      </w:r>
      <w:r w:rsidRPr="00E215CA">
        <w:rPr>
          <w:rFonts w:ascii="仿宋" w:eastAsia="仿宋" w:hAnsi="仿宋" w:hint="eastAsia"/>
          <w:color w:val="000000"/>
          <w:sz w:val="28"/>
          <w:szCs w:val="28"/>
        </w:rPr>
        <w:t>的备份容量，并配置虚拟化平台和物理机平台的备份许可。</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在平台方面，采用B/S架构的备份系统，该系统基于Web和移动端的图形管理界面，管理员可以随时登录并配置自动备份任务，远程容灾，系统恢复和其他管理策略等；系统可支持多种虚拟化平台的无代理备份方式，如VMware vSphere、Citrix XenServer、深信服 HCI、新华三H3C、云宏CNware、KVM等；采用向导式的备份/恢复任务配置管理，支持多用户、权限分离管理；支持基于角色的访问控制，图形化的日志、报表、系统概况等，为用户提供强大备份系统控制、管理、操作功能。</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在网络方面，灾备中心将部署一套管理网和一套设备网，其中管理网网络连接示意图：</w:t>
      </w:r>
    </w:p>
    <w:p w:rsidR="00E215CA" w:rsidRPr="005B426C" w:rsidRDefault="00E215CA" w:rsidP="00E215CA">
      <w:pPr>
        <w:spacing w:line="360" w:lineRule="auto"/>
        <w:jc w:val="center"/>
        <w:rPr>
          <w:rFonts w:ascii="宋体" w:hAnsi="宋体"/>
          <w:sz w:val="24"/>
        </w:rPr>
      </w:pPr>
      <w:r>
        <w:rPr>
          <w:noProof/>
        </w:rPr>
        <w:lastRenderedPageBreak/>
        <w:drawing>
          <wp:inline distT="0" distB="0" distL="0" distR="0">
            <wp:extent cx="2000816" cy="2869948"/>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2207" b="20751"/>
                    <a:stretch/>
                  </pic:blipFill>
                  <pic:spPr bwMode="auto">
                    <a:xfrm>
                      <a:off x="0" y="0"/>
                      <a:ext cx="2000816" cy="28699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本方案所有管理节点及存储节点均配置2个1GB网口，分别接入主备数据中心云平台管理网及存储管管理网交换机中（如果云平台管理网与分布式存储管理网不在一个网段，则需要分别接入两个网络），并通过bond方式将两网口做绑定，使得备份系统可以与虚拟化平台通信并获取虚拟化平台的虚拟机资源列表。</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备份网分两个部分，存储备份网以及业务网备份网，络连接示意图：</w:t>
      </w:r>
    </w:p>
    <w:p w:rsidR="00E215CA" w:rsidRPr="00422288" w:rsidRDefault="00E215CA" w:rsidP="00E215CA">
      <w:pPr>
        <w:spacing w:line="360" w:lineRule="auto"/>
        <w:jc w:val="center"/>
        <w:rPr>
          <w:rFonts w:ascii="宋体" w:hAnsi="宋体"/>
          <w:sz w:val="24"/>
        </w:rPr>
      </w:pPr>
      <w:r w:rsidRPr="00422288">
        <w:rPr>
          <w:rFonts w:ascii="宋体" w:hAnsi="宋体"/>
          <w:sz w:val="24"/>
        </w:rPr>
        <w:object w:dxaOrig="13609" w:dyaOrig="4416">
          <v:shape id="_x0000_i1026" type="#_x0000_t75" style="width:394.45pt;height:128.95pt" o:ole="">
            <v:imagedata r:id="rId12" o:title=""/>
          </v:shape>
          <o:OLEObject Type="Embed" ProgID="Visio.Drawing.15" ShapeID="_x0000_i1026" DrawAspect="Content" ObjectID="_1694208393" r:id="rId13"/>
        </w:objec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本方案主/备数据中心备份一体机均配置</w:t>
      </w:r>
      <w:r w:rsidRPr="00E215CA">
        <w:rPr>
          <w:rFonts w:ascii="仿宋" w:eastAsia="仿宋" w:hAnsi="仿宋"/>
          <w:color w:val="000000"/>
          <w:sz w:val="28"/>
          <w:szCs w:val="28"/>
        </w:rPr>
        <w:t>4</w:t>
      </w:r>
      <w:r w:rsidRPr="00E215CA">
        <w:rPr>
          <w:rFonts w:ascii="仿宋" w:eastAsia="仿宋" w:hAnsi="仿宋" w:hint="eastAsia"/>
          <w:color w:val="000000"/>
          <w:sz w:val="28"/>
          <w:szCs w:val="28"/>
        </w:rPr>
        <w:t>个10GB网口以及一块H</w:t>
      </w:r>
      <w:r w:rsidRPr="00E215CA">
        <w:rPr>
          <w:rFonts w:ascii="仿宋" w:eastAsia="仿宋" w:hAnsi="仿宋"/>
          <w:color w:val="000000"/>
          <w:sz w:val="28"/>
          <w:szCs w:val="28"/>
        </w:rPr>
        <w:t>BA</w:t>
      </w:r>
      <w:r w:rsidRPr="00E215CA">
        <w:rPr>
          <w:rFonts w:ascii="仿宋" w:eastAsia="仿宋" w:hAnsi="仿宋" w:hint="eastAsia"/>
          <w:color w:val="000000"/>
          <w:sz w:val="28"/>
          <w:szCs w:val="28"/>
        </w:rPr>
        <w:t>卡（可选）并通过bond绑定方式两两接入分布式存储网及业务网中，作为备份虚拟机或数据库/文件备份链路。</w:t>
      </w:r>
    </w:p>
    <w:p w:rsidR="00E215CA" w:rsidRPr="00B903C7" w:rsidRDefault="00E215CA" w:rsidP="00E215CA">
      <w:pPr>
        <w:pStyle w:val="3"/>
      </w:pPr>
      <w:bookmarkStart w:id="16" w:name="_Toc82381257"/>
      <w:bookmarkStart w:id="17" w:name="_Toc82381517"/>
      <w:r w:rsidRPr="00B903C7">
        <w:rPr>
          <w:rFonts w:hint="eastAsia"/>
        </w:rPr>
        <w:lastRenderedPageBreak/>
        <w:t>虚拟机备份流程</w:t>
      </w:r>
      <w:bookmarkEnd w:id="16"/>
      <w:bookmarkEnd w:id="17"/>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虚拟机备份将通过无代理方式将云平台相关的虚拟机进行整机备份，业务虚拟机无需安装任何插件，只需添加云平台的管理地址，即可获取平台中所有虚拟机信息，通过制定合理的备份策略（完全、增量、差异），对相关业务虚拟机进行快照级别的整机定时备份。备份主要过程如下：</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添加云平台到备份系统中，获取虚拟化平台的虚拟机列表；</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选择一个或多个业务虚拟机并制定相关的备份策略，如备份时间、备份方式以及备份保留等策略；</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等到备份任务启动时间，备份系统向云平台发起快照操作，快照执行完毕后备份系统会对快照磁盘文件进行目的端压缩整合后保存到备份系统；</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每个快照点形成备份数据的恢复时间点，该时间点由完全备份、增量备份或差异备份组成，随后即可通过改时间点进行虚拟机的恢复；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等该任务下所有虚拟机备份完成后，备份任务将进入等待状态，等待下一次任务时间点；</w:t>
      </w:r>
    </w:p>
    <w:p w:rsidR="00E215CA" w:rsidRPr="009F1C76" w:rsidRDefault="00E215CA" w:rsidP="00E215CA">
      <w:pPr>
        <w:spacing w:line="360" w:lineRule="auto"/>
        <w:ind w:firstLine="420"/>
        <w:rPr>
          <w:rFonts w:ascii="宋体" w:hAnsi="宋体"/>
          <w:sz w:val="24"/>
        </w:rPr>
      </w:pPr>
    </w:p>
    <w:p w:rsidR="00E215CA" w:rsidRPr="009F1C76" w:rsidRDefault="00E215CA" w:rsidP="00E215CA">
      <w:pPr>
        <w:spacing w:line="360" w:lineRule="auto"/>
        <w:ind w:firstLine="420"/>
        <w:rPr>
          <w:rFonts w:ascii="宋体" w:hAnsi="宋体"/>
          <w:sz w:val="24"/>
        </w:rPr>
      </w:pPr>
      <w:r w:rsidRPr="009F1C76">
        <w:rPr>
          <w:rFonts w:ascii="宋体" w:hAnsi="宋体"/>
          <w:noProof/>
          <w:sz w:val="24"/>
        </w:rPr>
        <w:lastRenderedPageBreak/>
        <w:drawing>
          <wp:inline distT="0" distB="0" distL="0" distR="0">
            <wp:extent cx="4183743" cy="3322608"/>
            <wp:effectExtent l="0" t="0" r="7620" b="0"/>
            <wp:docPr id="1"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文本, 应用程序&#10;&#10;描述已自动生成"/>
                    <pic:cNvPicPr/>
                  </pic:nvPicPr>
                  <pic:blipFill>
                    <a:blip r:embed="rId14"/>
                    <a:stretch>
                      <a:fillRect/>
                    </a:stretch>
                  </pic:blipFill>
                  <pic:spPr>
                    <a:xfrm>
                      <a:off x="0" y="0"/>
                      <a:ext cx="4183743" cy="3322608"/>
                    </a:xfrm>
                    <a:prstGeom prst="rect">
                      <a:avLst/>
                    </a:prstGeom>
                  </pic:spPr>
                </pic:pic>
              </a:graphicData>
            </a:graphic>
          </wp:inline>
        </w:drawing>
      </w:r>
      <w:r w:rsidRPr="009F1C76">
        <w:rPr>
          <w:rFonts w:ascii="宋体" w:hAnsi="宋体"/>
          <w:noProof/>
          <w:sz w:val="24"/>
        </w:rPr>
        <w:drawing>
          <wp:inline distT="0" distB="0" distL="0" distR="0">
            <wp:extent cx="4867275" cy="1261647"/>
            <wp:effectExtent l="0" t="0" r="0" b="0"/>
            <wp:docPr id="2"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应用程序&#10;&#10;描述已自动生成"/>
                    <pic:cNvPicPr/>
                  </pic:nvPicPr>
                  <pic:blipFill>
                    <a:blip r:embed="rId15"/>
                    <a:stretch>
                      <a:fillRect/>
                    </a:stretch>
                  </pic:blipFill>
                  <pic:spPr>
                    <a:xfrm>
                      <a:off x="0" y="0"/>
                      <a:ext cx="4877962" cy="1264417"/>
                    </a:xfrm>
                    <a:prstGeom prst="rect">
                      <a:avLst/>
                    </a:prstGeom>
                  </pic:spPr>
                </pic:pic>
              </a:graphicData>
            </a:graphic>
          </wp:inline>
        </w:drawing>
      </w:r>
      <w:r w:rsidRPr="009F1C76">
        <w:rPr>
          <w:rFonts w:ascii="宋体" w:hAnsi="宋体"/>
          <w:noProof/>
          <w:sz w:val="24"/>
        </w:rPr>
        <w:drawing>
          <wp:inline distT="0" distB="0" distL="0" distR="0">
            <wp:extent cx="4769485" cy="2714920"/>
            <wp:effectExtent l="0" t="0" r="0" b="9525"/>
            <wp:docPr id="6" name="图片 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形用户界面, 文本, 应用程序, 电子邮件&#10;&#10;描述已自动生成"/>
                    <pic:cNvPicPr/>
                  </pic:nvPicPr>
                  <pic:blipFill>
                    <a:blip r:embed="rId16"/>
                    <a:stretch>
                      <a:fillRect/>
                    </a:stretch>
                  </pic:blipFill>
                  <pic:spPr>
                    <a:xfrm>
                      <a:off x="0" y="0"/>
                      <a:ext cx="4781666" cy="2721854"/>
                    </a:xfrm>
                    <a:prstGeom prst="rect">
                      <a:avLst/>
                    </a:prstGeom>
                  </pic:spPr>
                </pic:pic>
              </a:graphicData>
            </a:graphic>
          </wp:inline>
        </w:drawing>
      </w:r>
    </w:p>
    <w:p w:rsidR="00E215CA" w:rsidRDefault="00E215CA" w:rsidP="00E215CA">
      <w:pPr>
        <w:pStyle w:val="3"/>
      </w:pPr>
      <w:bookmarkStart w:id="18" w:name="_Toc82381258"/>
      <w:bookmarkStart w:id="19" w:name="_Toc82381518"/>
      <w:r>
        <w:rPr>
          <w:rFonts w:hint="eastAsia"/>
        </w:rPr>
        <w:t>虚拟机恢复流程</w:t>
      </w:r>
      <w:bookmarkEnd w:id="18"/>
      <w:bookmarkEnd w:id="19"/>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备份系统拥有多种虚拟机恢复方式：恢复，瞬时恢复、细粒度恢</w:t>
      </w:r>
      <w:r w:rsidRPr="00E215CA">
        <w:rPr>
          <w:rFonts w:ascii="仿宋" w:eastAsia="仿宋" w:hAnsi="仿宋" w:hint="eastAsia"/>
          <w:color w:val="000000"/>
          <w:sz w:val="28"/>
          <w:szCs w:val="28"/>
        </w:rPr>
        <w:lastRenderedPageBreak/>
        <w:t>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虚拟机恢复为传统恢复模式，即将备份系统中备份的虚拟机完整恢复到云平台的存储中，支持原云平台同时支持异地或新建的云平台，该恢复模式根据虚拟机的容量及恢复传输网络决定恢复时间，虚拟机越大，恢复的时间越长。主要过程如下：</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登录备份系统，选择需要恢复的虚拟机时间点创建恢复任务，该模式一个任务支持一个或多个虚拟机进行恢复；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选择恢复的云平台，云平台必须已加入备份系统的虚拟化资源且为相同架构；</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选择云平台的宿主机以及要恢复虚拟机的相关配置，如虚拟机名称、配置、网络、存储等；</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恢复任务执行完毕后，即可登录到云平台查看瞬时恢复的虚拟机。</w:t>
      </w:r>
    </w:p>
    <w:p w:rsidR="00E215CA" w:rsidRPr="003446A2" w:rsidRDefault="00E215CA" w:rsidP="00E215CA">
      <w:pPr>
        <w:spacing w:line="360" w:lineRule="auto"/>
        <w:ind w:firstLine="420"/>
        <w:rPr>
          <w:rFonts w:ascii="宋体" w:hAnsi="宋体"/>
          <w:sz w:val="24"/>
        </w:rPr>
      </w:pPr>
      <w:r w:rsidRPr="003446A2">
        <w:rPr>
          <w:rFonts w:ascii="宋体" w:hAnsi="宋体"/>
          <w:noProof/>
          <w:sz w:val="24"/>
        </w:rPr>
        <w:drawing>
          <wp:inline distT="0" distB="0" distL="0" distR="0">
            <wp:extent cx="5274310" cy="2474595"/>
            <wp:effectExtent l="0" t="0" r="2540" b="1905"/>
            <wp:docPr id="37" name="图片 3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形用户界面, 文本, 应用程序&#10;&#10;描述已自动生成"/>
                    <pic:cNvPicPr/>
                  </pic:nvPicPr>
                  <pic:blipFill>
                    <a:blip r:embed="rId17"/>
                    <a:stretch>
                      <a:fillRect/>
                    </a:stretch>
                  </pic:blipFill>
                  <pic:spPr>
                    <a:xfrm>
                      <a:off x="0" y="0"/>
                      <a:ext cx="5274310" cy="2474595"/>
                    </a:xfrm>
                    <a:prstGeom prst="rect">
                      <a:avLst/>
                    </a:prstGeom>
                  </pic:spPr>
                </pic:pic>
              </a:graphicData>
            </a:graphic>
          </wp:inline>
        </w:drawing>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瞬时恢复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虚拟机瞬时恢复是快速恢复模式，即将备份系统作为存储，通过N</w:t>
      </w:r>
      <w:r w:rsidRPr="00E215CA">
        <w:rPr>
          <w:rFonts w:ascii="仿宋" w:eastAsia="仿宋" w:hAnsi="仿宋"/>
          <w:color w:val="000000"/>
          <w:sz w:val="28"/>
          <w:szCs w:val="28"/>
        </w:rPr>
        <w:t>AS</w:t>
      </w:r>
      <w:r w:rsidRPr="00E215CA">
        <w:rPr>
          <w:rFonts w:ascii="仿宋" w:eastAsia="仿宋" w:hAnsi="仿宋" w:hint="eastAsia"/>
          <w:color w:val="000000"/>
          <w:sz w:val="28"/>
          <w:szCs w:val="28"/>
        </w:rPr>
        <w:t>的方式挂载到生产云平台中，并快速注册并启动恢复的虚拟机，</w:t>
      </w:r>
      <w:r w:rsidRPr="00E215CA">
        <w:rPr>
          <w:rFonts w:ascii="仿宋" w:eastAsia="仿宋" w:hAnsi="仿宋" w:hint="eastAsia"/>
          <w:color w:val="000000"/>
          <w:sz w:val="28"/>
          <w:szCs w:val="28"/>
        </w:rPr>
        <w:lastRenderedPageBreak/>
        <w:t>达到快速恢复的目的。该模式支持原云平台同时支持异地或新建的云平台，恢复的虚拟机的时间与容量没有关系，可以在1分钟内恢复T</w:t>
      </w:r>
      <w:r w:rsidRPr="00E215CA">
        <w:rPr>
          <w:rFonts w:ascii="仿宋" w:eastAsia="仿宋" w:hAnsi="仿宋"/>
          <w:color w:val="000000"/>
          <w:sz w:val="28"/>
          <w:szCs w:val="28"/>
        </w:rPr>
        <w:t>B</w:t>
      </w:r>
      <w:r w:rsidRPr="00E215CA">
        <w:rPr>
          <w:rFonts w:ascii="仿宋" w:eastAsia="仿宋" w:hAnsi="仿宋" w:hint="eastAsia"/>
          <w:color w:val="000000"/>
          <w:sz w:val="28"/>
          <w:szCs w:val="28"/>
        </w:rPr>
        <w:t>级别的虚拟机，满足虚拟机业务系统快速恢复并接管业务的目的。同时在接管业务系统后利用迁移功能，可以保证新产生的缓存数据不丢失，平滑迁移至生产存储中。主要恢复过程如下：</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登录备份系统，创建瞬时恢复任务，该模式一个任务只支持一个虚拟机进行恢复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选择恢复的云平台，云平台必须已加入备份系统的虚拟化资源中且为相同架构；</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选择云平台的宿主机以及要恢复虚拟机的相关配置，如虚拟机名称、配置、网络等，无需选择存储；</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任务创建完毕后启动该任务，1分钟内即可登录到云平台查看瞬时恢复的虚拟机。</w:t>
      </w:r>
    </w:p>
    <w:p w:rsidR="00E215CA" w:rsidRPr="003446A2" w:rsidRDefault="00E215CA" w:rsidP="00E215CA">
      <w:pPr>
        <w:spacing w:line="360" w:lineRule="auto"/>
        <w:ind w:firstLine="420"/>
        <w:rPr>
          <w:rFonts w:ascii="宋体" w:hAnsi="宋体"/>
          <w:sz w:val="24"/>
        </w:rPr>
      </w:pPr>
      <w:r w:rsidRPr="003446A2">
        <w:rPr>
          <w:rFonts w:ascii="宋体" w:hAnsi="宋体"/>
          <w:noProof/>
          <w:sz w:val="24"/>
        </w:rPr>
        <w:drawing>
          <wp:inline distT="0" distB="0" distL="0" distR="0">
            <wp:extent cx="5274310" cy="3206750"/>
            <wp:effectExtent l="0" t="0" r="2540" b="0"/>
            <wp:docPr id="38" name="图片 3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形用户界面, 文本, 应用程序, 电子邮件&#10;&#10;描述已自动生成"/>
                    <pic:cNvPicPr/>
                  </pic:nvPicPr>
                  <pic:blipFill>
                    <a:blip r:embed="rId18"/>
                    <a:stretch>
                      <a:fillRect/>
                    </a:stretch>
                  </pic:blipFill>
                  <pic:spPr>
                    <a:xfrm>
                      <a:off x="0" y="0"/>
                      <a:ext cx="5274310" cy="3206750"/>
                    </a:xfrm>
                    <a:prstGeom prst="rect">
                      <a:avLst/>
                    </a:prstGeom>
                  </pic:spPr>
                </pic:pic>
              </a:graphicData>
            </a:graphic>
          </wp:inline>
        </w:drawing>
      </w:r>
    </w:p>
    <w:p w:rsidR="00E215CA" w:rsidRPr="003446A2" w:rsidRDefault="00E215CA" w:rsidP="00E215CA">
      <w:pPr>
        <w:spacing w:line="360" w:lineRule="auto"/>
        <w:ind w:firstLine="420"/>
        <w:rPr>
          <w:rFonts w:ascii="宋体" w:hAnsi="宋体"/>
          <w:sz w:val="24"/>
        </w:rPr>
      </w:pPr>
      <w:r w:rsidRPr="003446A2">
        <w:rPr>
          <w:rFonts w:ascii="宋体" w:hAnsi="宋体"/>
          <w:noProof/>
          <w:sz w:val="24"/>
        </w:rPr>
        <w:lastRenderedPageBreak/>
        <w:drawing>
          <wp:inline distT="0" distB="0" distL="0" distR="0">
            <wp:extent cx="4641056" cy="2447925"/>
            <wp:effectExtent l="0" t="0" r="7620" b="0"/>
            <wp:docPr id="30" name="图片 3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形用户界面, 文本, 应用程序&#10;&#10;描述已自动生成"/>
                    <pic:cNvPicPr/>
                  </pic:nvPicPr>
                  <pic:blipFill>
                    <a:blip r:embed="rId19" cstate="print"/>
                    <a:stretch>
                      <a:fillRect/>
                    </a:stretch>
                  </pic:blipFill>
                  <pic:spPr>
                    <a:xfrm>
                      <a:off x="0" y="0"/>
                      <a:ext cx="4644985" cy="2449998"/>
                    </a:xfrm>
                    <a:prstGeom prst="rect">
                      <a:avLst/>
                    </a:prstGeom>
                  </pic:spPr>
                </pic:pic>
              </a:graphicData>
            </a:graphic>
          </wp:inline>
        </w:drawing>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细粒度恢复</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虚拟机细粒度恢复是将备份完成的虚拟机文件直接在备份系统底层打开，可直接浏览虚拟机的文件及文件夹，无需恢复虚拟机整机轻松获取虚拟机中文件的恢复方式。主要恢复过程如下：</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登录备份系统，创建细粒度恢复任务，选择需要恢复虚拟机的时间点</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启动任务后即可查看虚拟机系统中的文件或文件夹，通过网页下载的方式获取这些文件进行恢复即可</w:t>
      </w:r>
    </w:p>
    <w:p w:rsidR="00E215CA" w:rsidRDefault="00E215CA" w:rsidP="00E215CA">
      <w:pPr>
        <w:spacing w:before="120" w:after="120"/>
        <w:ind w:firstLine="420"/>
      </w:pPr>
      <w:r>
        <w:rPr>
          <w:noProof/>
        </w:rPr>
        <w:drawing>
          <wp:inline distT="0" distB="0" distL="0" distR="0">
            <wp:extent cx="5274310" cy="2345055"/>
            <wp:effectExtent l="0" t="0" r="2540" b="0"/>
            <wp:docPr id="31" name="图片 3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形用户界面, 应用程序, 表格&#10;&#10;描述已自动生成"/>
                    <pic:cNvPicPr/>
                  </pic:nvPicPr>
                  <pic:blipFill>
                    <a:blip r:embed="rId20" cstate="print"/>
                    <a:stretch>
                      <a:fillRect/>
                    </a:stretch>
                  </pic:blipFill>
                  <pic:spPr>
                    <a:xfrm>
                      <a:off x="0" y="0"/>
                      <a:ext cx="5274310" cy="2345055"/>
                    </a:xfrm>
                    <a:prstGeom prst="rect">
                      <a:avLst/>
                    </a:prstGeom>
                  </pic:spPr>
                </pic:pic>
              </a:graphicData>
            </a:graphic>
          </wp:inline>
        </w:drawing>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t>持续数据保护</w:t>
      </w:r>
    </w:p>
    <w:p w:rsidR="00E215CA" w:rsidRPr="00E215CA" w:rsidRDefault="00E215CA" w:rsidP="00E215CA">
      <w:pPr>
        <w:ind w:firstLineChars="200" w:firstLine="560"/>
        <w:rPr>
          <w:rFonts w:ascii="仿宋" w:eastAsia="仿宋" w:hAnsi="仿宋"/>
          <w:color w:val="000000"/>
          <w:sz w:val="28"/>
          <w:szCs w:val="28"/>
        </w:rPr>
      </w:pPr>
      <w:r w:rsidRPr="00E215CA">
        <w:rPr>
          <w:rFonts w:ascii="仿宋" w:eastAsia="仿宋" w:hAnsi="仿宋" w:hint="eastAsia"/>
          <w:color w:val="000000"/>
          <w:sz w:val="28"/>
          <w:szCs w:val="28"/>
        </w:rPr>
        <w:lastRenderedPageBreak/>
        <w:t>逻辑类故障（软件故障-病毒和操作故障-误删除等），需要数据备份来解决，而市面上的普通备份为小时级，意味着业务故障恢复时至少丢失一小时的数据，这对用户的一些关键业务而言是不可接受的；某些重要业务系统需要实现更细粒度的备份，例如RPO的需求为分钟或秒级，为了满足这种需求，备份平台提供CDP服务，实现IO秒级别的高级备份技术，记录客户的每一次数据改动，可通过零丢失的数据恢复实现业务保护。同时平台将CDP模块做到虚拟机的qcows2文件层，相较于传统CDP软件只是以代理方式嵌入到系统操作OS层，这样能提供一种低成本、易部署、高价值、更适合虚拟机业务使用的CDP解决方案。</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异地灾备（等保2</w:t>
      </w:r>
      <w:r w:rsidRPr="00124285">
        <w:rPr>
          <w:rFonts w:ascii="仿宋" w:eastAsia="仿宋" w:hAnsi="仿宋"/>
          <w:color w:val="000000"/>
          <w:sz w:val="28"/>
          <w:szCs w:val="28"/>
        </w:rPr>
        <w:t>.0</w:t>
      </w:r>
      <w:r w:rsidRPr="00124285">
        <w:rPr>
          <w:rFonts w:ascii="仿宋" w:eastAsia="仿宋" w:hAnsi="仿宋" w:hint="eastAsia"/>
          <w:color w:val="000000"/>
          <w:sz w:val="28"/>
          <w:szCs w:val="28"/>
        </w:rPr>
        <w:t>合规）</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备份系统将定时将已备份虚拟机数据复制到异地的容灾备份系统中，以实现异地副本的容灾。</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当数据中心出现无法恢复灾害时，所有数据均在异地有副本，通过异地数据中心建立起的容灾资源池（与原云平台结构一致），利用瞬时恢复功能，将业务虚拟机恢复到异地数据中心的容灾资源池，以达到业务虚拟机容灾的功能。如以下为本地出现灾难故障业务虚拟机恢复场景：</w:t>
      </w:r>
    </w:p>
    <w:p w:rsidR="00E215CA" w:rsidRPr="00E34876" w:rsidRDefault="00E215CA" w:rsidP="00E215CA">
      <w:pPr>
        <w:spacing w:before="120" w:after="120"/>
        <w:ind w:firstLine="420"/>
        <w:jc w:val="center"/>
        <w:rPr>
          <w:color w:val="000000" w:themeColor="text1"/>
          <w:szCs w:val="21"/>
        </w:rPr>
      </w:pPr>
      <w:r w:rsidRPr="00C930AC">
        <w:rPr>
          <w:color w:val="000000" w:themeColor="text1"/>
          <w:szCs w:val="21"/>
        </w:rPr>
        <w:object w:dxaOrig="9913" w:dyaOrig="8220">
          <v:shape id="_x0000_i1027" type="#_x0000_t75" style="width:316.8pt;height:262.35pt" o:ole="">
            <v:imagedata r:id="rId21" o:title=""/>
          </v:shape>
          <o:OLEObject Type="Embed" ProgID="Visio.Drawing.15" ShapeID="_x0000_i1027" DrawAspect="Content" ObjectID="_1694208394" r:id="rId22"/>
        </w:objec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方案总结</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该容灾备份的方案满足以下特点：</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容灾备份系统支持多种虚拟平台的建设和扩容需求，满足未来应用灵活拓展；</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虚拟化平台所有虚拟机采用无代理方式进行备份，提供简单而又高效的数据安全保护；</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当虚拟机业务系统出现故障时，可通过瞬时恢复秒级拉起虚拟机业务系统，缩短中断时间，保证业务连续性；</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为虚拟机业务提供持续数据保护功能，避免因误操作或勒索病毒带来的数据丢失；</w:t>
      </w:r>
    </w:p>
    <w:p w:rsidR="00E215CA" w:rsidRPr="00124285" w:rsidRDefault="00E215CA" w:rsidP="00124285">
      <w:pPr>
        <w:ind w:firstLineChars="200" w:firstLine="560"/>
        <w:rPr>
          <w:rFonts w:ascii="仿宋" w:eastAsia="仿宋" w:hAnsi="仿宋"/>
          <w:color w:val="000000"/>
          <w:sz w:val="28"/>
          <w:szCs w:val="28"/>
        </w:rPr>
      </w:pPr>
      <w:r w:rsidRPr="00124285">
        <w:rPr>
          <w:rFonts w:ascii="仿宋" w:eastAsia="仿宋" w:hAnsi="仿宋" w:hint="eastAsia"/>
          <w:color w:val="000000"/>
          <w:sz w:val="28"/>
          <w:szCs w:val="28"/>
        </w:rPr>
        <w:t>降低数据丢失的风险，重要业务系统核心数据存放在物理硬件上，保证数据可用可靠，同时保留现有临时备份数据，并将支持本地数据复制到异地灾备平台中，实现异地业务系统容灾，以满足等保2</w:t>
      </w:r>
      <w:r w:rsidRPr="00124285">
        <w:rPr>
          <w:rFonts w:ascii="仿宋" w:eastAsia="仿宋" w:hAnsi="仿宋"/>
          <w:color w:val="000000"/>
          <w:sz w:val="28"/>
          <w:szCs w:val="28"/>
        </w:rPr>
        <w:t>.0</w:t>
      </w:r>
      <w:r w:rsidRPr="00124285">
        <w:rPr>
          <w:rFonts w:ascii="仿宋" w:eastAsia="仿宋" w:hAnsi="仿宋" w:hint="eastAsia"/>
          <w:color w:val="000000"/>
          <w:sz w:val="28"/>
          <w:szCs w:val="28"/>
        </w:rPr>
        <w:t>的</w:t>
      </w:r>
      <w:r w:rsidRPr="00124285">
        <w:rPr>
          <w:rFonts w:ascii="仿宋" w:eastAsia="仿宋" w:hAnsi="仿宋" w:hint="eastAsia"/>
          <w:color w:val="000000"/>
          <w:sz w:val="28"/>
          <w:szCs w:val="28"/>
        </w:rPr>
        <w:lastRenderedPageBreak/>
        <w:t>政策要求；</w:t>
      </w:r>
    </w:p>
    <w:p w:rsidR="00E215CA" w:rsidRPr="00E215CA" w:rsidRDefault="00E215CA" w:rsidP="00466EDA">
      <w:pPr>
        <w:ind w:firstLineChars="200" w:firstLine="562"/>
        <w:rPr>
          <w:rFonts w:ascii="仿宋" w:eastAsia="仿宋" w:hAnsi="仿宋"/>
          <w:b/>
          <w:bCs/>
          <w:kern w:val="44"/>
          <w:sz w:val="28"/>
          <w:szCs w:val="28"/>
        </w:rPr>
      </w:pPr>
    </w:p>
    <w:p w:rsidR="00E215CA" w:rsidRPr="00E215CA" w:rsidRDefault="00E215CA" w:rsidP="00E215CA">
      <w:pPr>
        <w:pStyle w:val="1"/>
        <w:numPr>
          <w:ilvl w:val="0"/>
          <w:numId w:val="3"/>
        </w:numPr>
        <w:rPr>
          <w:rFonts w:ascii="仿宋" w:eastAsia="仿宋" w:hAnsi="仿宋"/>
          <w:b w:val="0"/>
          <w:sz w:val="32"/>
          <w:szCs w:val="32"/>
        </w:rPr>
      </w:pPr>
      <w:bookmarkStart w:id="20" w:name="_Toc82381530"/>
      <w:r w:rsidRPr="00E215CA">
        <w:rPr>
          <w:rFonts w:ascii="仿宋" w:eastAsia="仿宋" w:hAnsi="仿宋" w:hint="eastAsia"/>
          <w:b w:val="0"/>
          <w:sz w:val="32"/>
          <w:szCs w:val="32"/>
        </w:rPr>
        <w:t>数据安全备份建设项目主要技术要求</w:t>
      </w:r>
      <w:bookmarkEnd w:id="20"/>
    </w:p>
    <w:tbl>
      <w:tblPr>
        <w:tblW w:w="4998" w:type="pct"/>
        <w:jc w:val="center"/>
        <w:tblLook w:val="04A0"/>
      </w:tblPr>
      <w:tblGrid>
        <w:gridCol w:w="1091"/>
        <w:gridCol w:w="6718"/>
        <w:gridCol w:w="710"/>
      </w:tblGrid>
      <w:tr w:rsidR="00E215CA" w:rsidRPr="00124285" w:rsidTr="00896282">
        <w:trPr>
          <w:trHeight w:val="456"/>
          <w:jc w:val="center"/>
        </w:trPr>
        <w:tc>
          <w:tcPr>
            <w:tcW w:w="640" w:type="pct"/>
            <w:tcBorders>
              <w:top w:val="single" w:sz="4" w:space="0" w:color="auto"/>
              <w:left w:val="single" w:sz="4" w:space="0" w:color="auto"/>
              <w:bottom w:val="nil"/>
              <w:right w:val="single" w:sz="4" w:space="0" w:color="auto"/>
            </w:tcBorders>
            <w:shd w:val="clear" w:color="auto" w:fill="auto"/>
            <w:vAlign w:val="center"/>
          </w:tcPr>
          <w:p w:rsidR="00E215CA" w:rsidRPr="00124285" w:rsidRDefault="00E215CA" w:rsidP="00896282">
            <w:pPr>
              <w:widowControl/>
              <w:jc w:val="center"/>
              <w:rPr>
                <w:rFonts w:ascii="仿宋" w:eastAsia="仿宋" w:hAnsi="仿宋" w:cs="宋体"/>
                <w:sz w:val="24"/>
                <w:szCs w:val="24"/>
                <w:lang/>
              </w:rPr>
            </w:pPr>
            <w:r w:rsidRPr="00124285">
              <w:rPr>
                <w:rFonts w:ascii="仿宋" w:eastAsia="仿宋" w:hAnsi="仿宋" w:cs="宋体" w:hint="eastAsia"/>
                <w:sz w:val="24"/>
                <w:szCs w:val="24"/>
                <w:lang/>
              </w:rPr>
              <w:t>品类</w:t>
            </w:r>
          </w:p>
        </w:tc>
        <w:tc>
          <w:tcPr>
            <w:tcW w:w="3941" w:type="pct"/>
            <w:tcBorders>
              <w:top w:val="single" w:sz="4" w:space="0" w:color="auto"/>
              <w:left w:val="nil"/>
              <w:bottom w:val="nil"/>
              <w:right w:val="single" w:sz="4" w:space="0" w:color="auto"/>
            </w:tcBorders>
            <w:shd w:val="clear" w:color="auto" w:fill="auto"/>
            <w:vAlign w:val="center"/>
          </w:tcPr>
          <w:p w:rsidR="00E215CA" w:rsidRPr="00124285" w:rsidRDefault="00E215CA" w:rsidP="00896282">
            <w:pPr>
              <w:pBdr>
                <w:top w:val="none" w:sz="0" w:space="0" w:color="000000"/>
                <w:left w:val="none" w:sz="0" w:space="0" w:color="000000"/>
                <w:bottom w:val="none" w:sz="0" w:space="0" w:color="000000"/>
                <w:right w:val="none" w:sz="0" w:space="0" w:color="000000"/>
              </w:pBdr>
              <w:jc w:val="center"/>
              <w:rPr>
                <w:rFonts w:ascii="仿宋" w:eastAsia="仿宋" w:hAnsi="仿宋" w:cs="宋体"/>
                <w:kern w:val="0"/>
                <w:sz w:val="24"/>
                <w:szCs w:val="24"/>
                <w:lang/>
              </w:rPr>
            </w:pPr>
            <w:r w:rsidRPr="00124285">
              <w:rPr>
                <w:rFonts w:ascii="仿宋" w:eastAsia="仿宋" w:hAnsi="仿宋" w:cs="宋体" w:hint="eastAsia"/>
                <w:kern w:val="0"/>
                <w:sz w:val="24"/>
                <w:szCs w:val="24"/>
                <w:lang/>
              </w:rPr>
              <w:t>参数</w:t>
            </w:r>
          </w:p>
        </w:tc>
        <w:tc>
          <w:tcPr>
            <w:tcW w:w="417" w:type="pct"/>
            <w:tcBorders>
              <w:top w:val="single" w:sz="4" w:space="0" w:color="auto"/>
              <w:left w:val="nil"/>
              <w:bottom w:val="nil"/>
              <w:right w:val="single" w:sz="4" w:space="0" w:color="auto"/>
            </w:tcBorders>
            <w:shd w:val="clear" w:color="auto" w:fill="auto"/>
            <w:vAlign w:val="center"/>
          </w:tcPr>
          <w:p w:rsidR="00E215CA" w:rsidRPr="00124285" w:rsidRDefault="00E215CA" w:rsidP="00896282">
            <w:pPr>
              <w:pBdr>
                <w:top w:val="none" w:sz="0" w:space="0" w:color="000000"/>
                <w:left w:val="none" w:sz="0" w:space="0" w:color="000000"/>
                <w:bottom w:val="none" w:sz="0" w:space="0" w:color="000000"/>
                <w:right w:val="none" w:sz="0" w:space="0" w:color="000000"/>
              </w:pBdr>
              <w:jc w:val="center"/>
              <w:rPr>
                <w:rFonts w:ascii="仿宋" w:eastAsia="仿宋" w:hAnsi="仿宋" w:cs="宋体"/>
                <w:kern w:val="0"/>
                <w:sz w:val="24"/>
                <w:szCs w:val="24"/>
                <w:lang/>
              </w:rPr>
            </w:pPr>
            <w:r w:rsidRPr="00124285">
              <w:rPr>
                <w:rFonts w:ascii="仿宋" w:eastAsia="仿宋" w:hAnsi="仿宋" w:cs="宋体" w:hint="eastAsia"/>
                <w:kern w:val="0"/>
                <w:sz w:val="24"/>
                <w:szCs w:val="24"/>
                <w:lang/>
              </w:rPr>
              <w:t>数量</w:t>
            </w:r>
          </w:p>
        </w:tc>
      </w:tr>
      <w:tr w:rsidR="00E215CA" w:rsidRPr="00124285" w:rsidTr="00896282">
        <w:trPr>
          <w:trHeight w:val="983"/>
          <w:jc w:val="center"/>
        </w:trPr>
        <w:tc>
          <w:tcPr>
            <w:tcW w:w="640" w:type="pct"/>
            <w:tcBorders>
              <w:top w:val="single" w:sz="4" w:space="0" w:color="auto"/>
              <w:left w:val="single" w:sz="4" w:space="0" w:color="auto"/>
              <w:bottom w:val="nil"/>
              <w:right w:val="single" w:sz="4" w:space="0" w:color="auto"/>
            </w:tcBorders>
            <w:shd w:val="clear" w:color="auto" w:fill="auto"/>
            <w:vAlign w:val="center"/>
          </w:tcPr>
          <w:p w:rsidR="00E215CA" w:rsidRPr="00124285" w:rsidRDefault="00E215CA" w:rsidP="00896282">
            <w:pPr>
              <w:widowControl/>
              <w:rPr>
                <w:rFonts w:ascii="仿宋" w:eastAsia="仿宋" w:hAnsi="仿宋" w:cs="宋体"/>
                <w:kern w:val="0"/>
                <w:sz w:val="24"/>
                <w:szCs w:val="24"/>
              </w:rPr>
            </w:pPr>
            <w:r w:rsidRPr="00124285">
              <w:rPr>
                <w:rFonts w:ascii="仿宋" w:eastAsia="仿宋" w:hAnsi="仿宋" w:cs="宋体" w:hint="eastAsia"/>
                <w:sz w:val="24"/>
                <w:szCs w:val="24"/>
              </w:rPr>
              <w:t>分布式存储</w:t>
            </w:r>
            <w:r w:rsidRPr="00124285">
              <w:rPr>
                <w:rFonts w:ascii="仿宋" w:eastAsia="仿宋" w:hAnsi="仿宋" w:cs="宋体" w:hint="eastAsia"/>
                <w:sz w:val="24"/>
                <w:szCs w:val="24"/>
                <w:lang/>
              </w:rPr>
              <w:t>一体机</w:t>
            </w:r>
          </w:p>
        </w:tc>
        <w:tc>
          <w:tcPr>
            <w:tcW w:w="3941" w:type="pct"/>
            <w:tcBorders>
              <w:top w:val="single" w:sz="4" w:space="0" w:color="auto"/>
              <w:left w:val="nil"/>
              <w:bottom w:val="nil"/>
              <w:right w:val="single" w:sz="4" w:space="0" w:color="auto"/>
            </w:tcBorders>
            <w:shd w:val="clear" w:color="auto" w:fill="auto"/>
            <w:vAlign w:val="center"/>
          </w:tcPr>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hint="eastAsia"/>
                <w:sz w:val="24"/>
                <w:szCs w:val="24"/>
              </w:rPr>
              <w:t>★</w:t>
            </w:r>
            <w:r w:rsidRPr="00124285">
              <w:rPr>
                <w:rFonts w:ascii="仿宋" w:eastAsia="仿宋" w:hAnsi="仿宋" w:cs="宋体" w:hint="eastAsia"/>
                <w:kern w:val="0"/>
                <w:sz w:val="24"/>
                <w:szCs w:val="24"/>
                <w:lang w:val="zh-TW"/>
              </w:rPr>
              <w:t>计算处理单元配置：每个存储节点配置CPU≥Silver 4210R 2.4GHz</w:t>
            </w:r>
            <w:r w:rsidRPr="00124285">
              <w:rPr>
                <w:rFonts w:ascii="仿宋" w:eastAsia="仿宋" w:hAnsi="仿宋" w:cs="宋体"/>
                <w:kern w:val="0"/>
                <w:sz w:val="24"/>
                <w:szCs w:val="24"/>
              </w:rPr>
              <w:t>，</w:t>
            </w:r>
            <w:r w:rsidRPr="00124285">
              <w:rPr>
                <w:rFonts w:ascii="仿宋" w:eastAsia="仿宋" w:hAnsi="仿宋" w:cs="宋体" w:hint="eastAsia"/>
                <w:kern w:val="0"/>
                <w:sz w:val="24"/>
                <w:szCs w:val="24"/>
                <w:lang w:val="zh-TW"/>
              </w:rPr>
              <w:t>内存≥2*</w:t>
            </w:r>
            <w:r w:rsidRPr="00124285">
              <w:rPr>
                <w:rFonts w:ascii="仿宋" w:eastAsia="仿宋" w:hAnsi="仿宋" w:cs="宋体" w:hint="eastAsia"/>
                <w:kern w:val="0"/>
                <w:sz w:val="24"/>
                <w:szCs w:val="24"/>
              </w:rPr>
              <w:t>16</w:t>
            </w:r>
            <w:r w:rsidRPr="00124285">
              <w:rPr>
                <w:rFonts w:ascii="仿宋" w:eastAsia="仿宋" w:hAnsi="仿宋" w:cs="宋体" w:hint="eastAsia"/>
                <w:kern w:val="0"/>
                <w:sz w:val="24"/>
                <w:szCs w:val="24"/>
                <w:lang w:val="zh-TW"/>
              </w:rPr>
              <w:t>GB</w:t>
            </w:r>
            <w:r w:rsidRPr="00124285">
              <w:rPr>
                <w:rFonts w:ascii="仿宋" w:eastAsia="仿宋" w:hAnsi="仿宋" w:cs="宋体" w:hint="eastAsia"/>
                <w:kern w:val="0"/>
                <w:sz w:val="24"/>
                <w:szCs w:val="24"/>
              </w:rPr>
              <w:t>,</w:t>
            </w:r>
            <w:r w:rsidRPr="00124285">
              <w:rPr>
                <w:rFonts w:ascii="仿宋" w:eastAsia="仿宋" w:hAnsi="仿宋" w:cs="宋体" w:hint="eastAsia"/>
                <w:kern w:val="0"/>
                <w:sz w:val="24"/>
                <w:szCs w:val="24"/>
                <w:lang w:val="zh-TW" w:eastAsia="zh-TW"/>
              </w:rPr>
              <w:t>分布式存储容量授权</w:t>
            </w:r>
            <w:r w:rsidRPr="00124285">
              <w:rPr>
                <w:rFonts w:ascii="仿宋" w:eastAsia="仿宋" w:hAnsi="仿宋" w:cs="宋体" w:hint="eastAsia"/>
                <w:kern w:val="0"/>
                <w:sz w:val="24"/>
                <w:szCs w:val="24"/>
                <w:lang w:val="zh-TW"/>
              </w:rPr>
              <w:t>≥</w:t>
            </w:r>
            <w:r w:rsidRPr="00124285">
              <w:rPr>
                <w:rFonts w:ascii="仿宋" w:eastAsia="仿宋" w:hAnsi="仿宋" w:cs="宋体"/>
                <w:kern w:val="0"/>
                <w:sz w:val="24"/>
                <w:szCs w:val="24"/>
              </w:rPr>
              <w:t>100</w:t>
            </w:r>
            <w:r w:rsidRPr="00124285">
              <w:rPr>
                <w:rFonts w:ascii="仿宋" w:eastAsia="仿宋" w:hAnsi="仿宋" w:cs="宋体" w:hint="eastAsia"/>
                <w:kern w:val="0"/>
                <w:sz w:val="24"/>
                <w:szCs w:val="24"/>
                <w:lang w:val="zh-TW" w:eastAsia="zh-TW"/>
              </w:rPr>
              <w:t>T</w:t>
            </w:r>
            <w:r w:rsidRPr="00124285">
              <w:rPr>
                <w:rFonts w:ascii="仿宋" w:eastAsia="仿宋" w:hAnsi="仿宋" w:cs="宋体" w:hint="eastAsia"/>
                <w:kern w:val="0"/>
                <w:sz w:val="24"/>
                <w:szCs w:val="24"/>
                <w:lang w:eastAsia="zh-TW"/>
              </w:rPr>
              <w:t>;</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缓存配置：每个存储节点缓冲池配置≥2块480GB 企业级SSD，采用SSD+HDD的方式，提高数据写入磁盘的速度</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接口类型数量：每个存储节点配置≥</w:t>
            </w:r>
            <w:r w:rsidRPr="00124285">
              <w:rPr>
                <w:rFonts w:ascii="仿宋" w:eastAsia="仿宋" w:hAnsi="仿宋" w:cs="宋体"/>
                <w:kern w:val="0"/>
                <w:sz w:val="24"/>
                <w:szCs w:val="24"/>
              </w:rPr>
              <w:t>4</w:t>
            </w:r>
            <w:r w:rsidRPr="00124285">
              <w:rPr>
                <w:rFonts w:ascii="仿宋" w:eastAsia="仿宋" w:hAnsi="仿宋" w:cs="宋体" w:hint="eastAsia"/>
                <w:kern w:val="0"/>
                <w:sz w:val="24"/>
                <w:szCs w:val="24"/>
                <w:lang w:val="zh-TW"/>
              </w:rPr>
              <w:t>个千兆</w:t>
            </w:r>
            <w:r w:rsidRPr="00124285">
              <w:rPr>
                <w:rFonts w:ascii="仿宋" w:eastAsia="仿宋" w:hAnsi="仿宋" w:cs="宋体" w:hint="eastAsia"/>
                <w:kern w:val="0"/>
                <w:sz w:val="24"/>
                <w:szCs w:val="24"/>
                <w:lang/>
              </w:rPr>
              <w:t>电</w:t>
            </w:r>
            <w:r w:rsidRPr="00124285">
              <w:rPr>
                <w:rFonts w:ascii="仿宋" w:eastAsia="仿宋" w:hAnsi="仿宋" w:cs="宋体" w:hint="eastAsia"/>
                <w:kern w:val="0"/>
                <w:sz w:val="24"/>
                <w:szCs w:val="24"/>
                <w:lang w:val="zh-TW"/>
              </w:rPr>
              <w:t>口，≥</w:t>
            </w:r>
            <w:r w:rsidRPr="00124285">
              <w:rPr>
                <w:rFonts w:ascii="仿宋" w:eastAsia="仿宋" w:hAnsi="仿宋" w:cs="宋体"/>
                <w:kern w:val="0"/>
                <w:sz w:val="24"/>
                <w:szCs w:val="24"/>
              </w:rPr>
              <w:t>4</w:t>
            </w:r>
            <w:r w:rsidRPr="00124285">
              <w:rPr>
                <w:rFonts w:ascii="仿宋" w:eastAsia="仿宋" w:hAnsi="仿宋" w:cs="宋体" w:hint="eastAsia"/>
                <w:kern w:val="0"/>
                <w:sz w:val="24"/>
                <w:szCs w:val="24"/>
                <w:lang w:val="zh-TW"/>
              </w:rPr>
              <w:t>个</w:t>
            </w:r>
            <w:r w:rsidRPr="00124285">
              <w:rPr>
                <w:rFonts w:ascii="仿宋" w:eastAsia="仿宋" w:hAnsi="仿宋" w:cs="宋体" w:hint="eastAsia"/>
                <w:kern w:val="0"/>
                <w:sz w:val="24"/>
                <w:szCs w:val="24"/>
              </w:rPr>
              <w:t>万兆</w:t>
            </w:r>
            <w:r w:rsidRPr="00124285">
              <w:rPr>
                <w:rFonts w:ascii="仿宋" w:eastAsia="仿宋" w:hAnsi="仿宋" w:cs="宋体" w:hint="eastAsia"/>
                <w:kern w:val="0"/>
                <w:sz w:val="24"/>
                <w:szCs w:val="24"/>
                <w:lang/>
              </w:rPr>
              <w:t>光</w:t>
            </w:r>
            <w:r w:rsidRPr="00124285">
              <w:rPr>
                <w:rFonts w:ascii="仿宋" w:eastAsia="仿宋" w:hAnsi="仿宋" w:cs="宋体" w:hint="eastAsia"/>
                <w:kern w:val="0"/>
                <w:sz w:val="24"/>
                <w:szCs w:val="24"/>
              </w:rPr>
              <w:t>口；</w:t>
            </w:r>
            <w:r w:rsidRPr="00124285">
              <w:rPr>
                <w:rFonts w:ascii="仿宋" w:eastAsia="仿宋" w:hAnsi="仿宋" w:cs="宋体" w:hint="eastAsia"/>
                <w:kern w:val="0"/>
                <w:sz w:val="24"/>
                <w:szCs w:val="24"/>
                <w:lang w:val="zh-TW" w:eastAsia="zh-TW"/>
              </w:rPr>
              <w:t>容量：配置机械硬盘</w:t>
            </w:r>
            <w:r w:rsidRPr="00124285">
              <w:rPr>
                <w:rFonts w:ascii="仿宋" w:eastAsia="仿宋" w:hAnsi="仿宋" w:cs="宋体" w:hint="eastAsia"/>
                <w:kern w:val="0"/>
                <w:sz w:val="24"/>
                <w:szCs w:val="24"/>
                <w:lang w:val="zh-TW"/>
              </w:rPr>
              <w:t>≥</w:t>
            </w:r>
            <w:r w:rsidRPr="00124285">
              <w:rPr>
                <w:rFonts w:ascii="仿宋" w:eastAsia="仿宋" w:hAnsi="仿宋" w:cs="宋体"/>
                <w:kern w:val="0"/>
                <w:sz w:val="24"/>
                <w:szCs w:val="24"/>
              </w:rPr>
              <w:t>6</w:t>
            </w:r>
            <w:r w:rsidRPr="00124285">
              <w:rPr>
                <w:rFonts w:ascii="仿宋" w:eastAsia="仿宋" w:hAnsi="仿宋" w:cs="宋体" w:hint="eastAsia"/>
                <w:kern w:val="0"/>
                <w:sz w:val="24"/>
                <w:szCs w:val="24"/>
                <w:lang w:val="zh-TW" w:eastAsia="zh-TW"/>
              </w:rPr>
              <w:t>个</w:t>
            </w:r>
            <w:r w:rsidRPr="00124285">
              <w:rPr>
                <w:rFonts w:ascii="仿宋" w:eastAsia="仿宋" w:hAnsi="仿宋" w:cs="宋体"/>
                <w:kern w:val="0"/>
                <w:sz w:val="24"/>
                <w:szCs w:val="24"/>
                <w:lang w:eastAsia="zh-TW"/>
              </w:rPr>
              <w:t>8</w:t>
            </w:r>
            <w:r w:rsidRPr="00124285">
              <w:rPr>
                <w:rFonts w:ascii="仿宋" w:eastAsia="仿宋" w:hAnsi="仿宋" w:cs="宋体" w:hint="eastAsia"/>
                <w:kern w:val="0"/>
                <w:sz w:val="24"/>
                <w:szCs w:val="24"/>
                <w:lang w:val="zh-TW" w:eastAsia="zh-TW"/>
              </w:rPr>
              <w:t>TB，</w:t>
            </w:r>
            <w:r w:rsidRPr="00124285">
              <w:rPr>
                <w:rFonts w:ascii="仿宋" w:eastAsia="仿宋" w:hAnsi="仿宋" w:cs="宋体" w:hint="eastAsia"/>
                <w:kern w:val="0"/>
                <w:sz w:val="24"/>
                <w:szCs w:val="24"/>
                <w:lang w:val="zh-TW"/>
              </w:rPr>
              <w:t>≥</w:t>
            </w:r>
            <w:r w:rsidRPr="00124285">
              <w:rPr>
                <w:rFonts w:ascii="仿宋" w:eastAsia="仿宋" w:hAnsi="仿宋" w:cs="宋体" w:hint="eastAsia"/>
                <w:kern w:val="0"/>
                <w:sz w:val="24"/>
                <w:szCs w:val="24"/>
                <w:lang w:eastAsia="zh-TW"/>
              </w:rPr>
              <w:t>2</w:t>
            </w:r>
            <w:r w:rsidRPr="00124285">
              <w:rPr>
                <w:rFonts w:ascii="仿宋" w:eastAsia="仿宋" w:hAnsi="仿宋" w:cs="宋体" w:hint="eastAsia"/>
                <w:kern w:val="0"/>
                <w:sz w:val="24"/>
                <w:szCs w:val="24"/>
                <w:lang w:val="zh-TW" w:eastAsia="zh-TW"/>
              </w:rPr>
              <w:t>个</w:t>
            </w:r>
            <w:r w:rsidRPr="00124285">
              <w:rPr>
                <w:rFonts w:ascii="仿宋" w:eastAsia="仿宋" w:hAnsi="仿宋" w:cs="宋体" w:hint="eastAsia"/>
                <w:kern w:val="0"/>
                <w:sz w:val="24"/>
                <w:szCs w:val="24"/>
                <w:lang w:val="zh-TW"/>
              </w:rPr>
              <w:t>9</w:t>
            </w:r>
            <w:r w:rsidRPr="00124285">
              <w:rPr>
                <w:rFonts w:ascii="仿宋" w:eastAsia="仿宋" w:hAnsi="仿宋" w:cs="宋体" w:hint="eastAsia"/>
                <w:kern w:val="0"/>
                <w:sz w:val="24"/>
                <w:szCs w:val="24"/>
                <w:lang w:val="zh-TW" w:eastAsia="zh-TW"/>
              </w:rPr>
              <w:t>60G SSD，支持SSD、SAS、NL-SAS、SATA类型硬盘混插</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主流商用平台,该商用平台在国内设有研发人员，拥有自主知识产权。</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一套存储提供SAN、NAS、Object三种存储服务，可以提供iSCSI、NFS、CIFS、S3、Swift接口的数据访问功能、数据储存、数据管理等全部的功能，以便于系统管理及后期扩展</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kern w:val="0"/>
                <w:sz w:val="24"/>
                <w:szCs w:val="24"/>
              </w:rPr>
              <w:t>▲</w:t>
            </w:r>
            <w:r w:rsidRPr="00124285">
              <w:rPr>
                <w:rFonts w:ascii="仿宋" w:eastAsia="仿宋" w:hAnsi="仿宋" w:cs="宋体" w:hint="eastAsia"/>
                <w:kern w:val="0"/>
                <w:sz w:val="24"/>
                <w:szCs w:val="24"/>
                <w:lang w:val="zh-TW"/>
              </w:rPr>
              <w:t>提供高可用的存储能力，支持多节点部署，三节点时可同时提供块/文件/对象三种存储服务，当出现单节点损坏和单磁盘损坏时，系统依然可读写，且性能稳定（提供证明材料，并加盖厂商公章）</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系统支持千兆、10GE、25GE、100GE主机接口；分布式架构，无中心引擎，无独立元数据引擎，性能随节点数量的增加而近线性提升。提供多控制器负载均衡及故障自动切换功能。</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支持自适应条带化功能，实现分布式raid0的性能提升效果，并且支持以逻辑卷或LUN为单位设置不同的条带数。</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对象存储支持SSL访问加密，通过购买受信任 CA 认证中心颁发的数字证书，然后应用在对象存储，可将 HTTP 访问转换成 HTTPS，提供认证加密功能。在客户端和服务器端之间建立加密通道，保证数据在传输过程中不被窃取或篡改。</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kern w:val="0"/>
                <w:sz w:val="24"/>
                <w:szCs w:val="24"/>
              </w:rPr>
              <w:t>▲</w:t>
            </w:r>
            <w:r w:rsidRPr="00124285">
              <w:rPr>
                <w:rFonts w:ascii="仿宋" w:eastAsia="仿宋" w:hAnsi="仿宋" w:cs="宋体" w:hint="eastAsia"/>
                <w:kern w:val="0"/>
                <w:sz w:val="24"/>
                <w:szCs w:val="24"/>
                <w:lang w:val="zh-TW"/>
              </w:rPr>
              <w:t>支持一键检测功能，支持用户自行检测系统健康状态，检测包括CPU、内存、硬盘、网口等硬件故障、告警等问题，同时支持检测各类存储服务是否正常启动。针对问题能够提出解决推荐办法。（提供证明材料，并加盖厂商公章）</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.为保障存储服务连续性，要求集群添加存储节点时，业务不能够中断，并且能够线性扩容容量和性能，集群支持节点数不少于5000个；</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为合理规划管理文件存储，要求文件存储具备目录配额管理功能，包括容量和文件数</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kern w:val="0"/>
                <w:sz w:val="24"/>
                <w:szCs w:val="24"/>
              </w:rPr>
              <w:lastRenderedPageBreak/>
              <w:t>▲</w:t>
            </w:r>
            <w:r w:rsidRPr="00124285">
              <w:rPr>
                <w:rFonts w:ascii="仿宋" w:eastAsia="仿宋" w:hAnsi="仿宋" w:cs="宋体" w:hint="eastAsia"/>
                <w:kern w:val="0"/>
                <w:sz w:val="24"/>
                <w:szCs w:val="24"/>
                <w:lang w:val="zh-TW"/>
              </w:rPr>
              <w:t>为防止误删操作导致数据丢失，要求系统具备目录级快照功能，能够按照时间点策略进行快照，支持快照数≥1024个。并且快照具备重命名功能，可进行删除快照链上任意快照点，文件数据回滚等操作（提供证明材料，并加盖厂商公章）</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rPr>
              <w:t>.</w:t>
            </w:r>
            <w:r w:rsidRPr="00124285">
              <w:rPr>
                <w:rFonts w:ascii="仿宋" w:eastAsia="仿宋" w:hAnsi="仿宋" w:cs="宋体" w:hint="eastAsia"/>
                <w:kern w:val="0"/>
                <w:sz w:val="24"/>
                <w:szCs w:val="24"/>
                <w:lang w:val="zh-TW"/>
              </w:rPr>
              <w:t>支持多个不同地域的站点实现多活平台，可实现多中心的对象数据进行同步或异步复制，当某中心故障，其它数据中心可实现自动接管，保障业务的连续性。当故障中心修复可实现数据反同步，保障数据一致性。多中心可实现统一管理运维</w:t>
            </w:r>
            <w:r w:rsidRPr="00124285">
              <w:rPr>
                <w:rFonts w:ascii="仿宋" w:eastAsia="仿宋" w:hAnsi="仿宋" w:cs="宋体" w:hint="eastAsia"/>
                <w:kern w:val="0"/>
                <w:sz w:val="24"/>
                <w:szCs w:val="24"/>
              </w:rPr>
              <w:t>；</w:t>
            </w:r>
          </w:p>
          <w:p w:rsidR="00E215CA" w:rsidRPr="00124285" w:rsidRDefault="00E215CA" w:rsidP="00E215CA">
            <w:pPr>
              <w:numPr>
                <w:ilvl w:val="0"/>
                <w:numId w:val="9"/>
              </w:num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lang w:val="zh-TW"/>
              </w:rPr>
            </w:pPr>
            <w:r w:rsidRPr="00124285">
              <w:rPr>
                <w:rFonts w:ascii="仿宋" w:eastAsia="仿宋" w:hAnsi="仿宋" w:cs="宋体" w:hint="eastAsia"/>
                <w:kern w:val="0"/>
                <w:sz w:val="24"/>
                <w:szCs w:val="24"/>
                <w:lang w:val="zh-TW"/>
              </w:rPr>
              <w:t>.在不同地域的多站点多活环境下，在主机或者磁盘故障时，支持快速数据重建，重建速度1TB/30min，智能感知IO压力，保证运行业务性能</w:t>
            </w:r>
            <w:r w:rsidRPr="00124285">
              <w:rPr>
                <w:rFonts w:ascii="仿宋" w:eastAsia="仿宋" w:hAnsi="仿宋" w:cs="宋体" w:hint="eastAsia"/>
                <w:kern w:val="0"/>
                <w:sz w:val="24"/>
                <w:szCs w:val="24"/>
              </w:rPr>
              <w:t>；</w:t>
            </w:r>
          </w:p>
        </w:tc>
        <w:tc>
          <w:tcPr>
            <w:tcW w:w="417" w:type="pct"/>
            <w:tcBorders>
              <w:top w:val="single" w:sz="4" w:space="0" w:color="auto"/>
              <w:left w:val="nil"/>
              <w:bottom w:val="nil"/>
              <w:right w:val="single" w:sz="4" w:space="0" w:color="auto"/>
            </w:tcBorders>
            <w:shd w:val="clear" w:color="auto" w:fill="auto"/>
            <w:vAlign w:val="center"/>
          </w:tcPr>
          <w:p w:rsidR="00E215CA" w:rsidRPr="00124285" w:rsidRDefault="00E215CA" w:rsidP="00896282">
            <w:pPr>
              <w:pBdr>
                <w:top w:val="none" w:sz="0" w:space="0" w:color="000000"/>
                <w:left w:val="none" w:sz="0" w:space="0" w:color="000000"/>
                <w:bottom w:val="none" w:sz="0" w:space="0" w:color="000000"/>
                <w:right w:val="none" w:sz="0" w:space="0" w:color="000000"/>
              </w:pBdr>
              <w:rPr>
                <w:rFonts w:ascii="仿宋" w:eastAsia="仿宋" w:hAnsi="仿宋" w:cs="宋体"/>
                <w:kern w:val="0"/>
                <w:sz w:val="24"/>
                <w:szCs w:val="24"/>
              </w:rPr>
            </w:pPr>
            <w:r w:rsidRPr="00124285">
              <w:rPr>
                <w:rFonts w:ascii="仿宋" w:eastAsia="仿宋" w:hAnsi="仿宋" w:cs="宋体"/>
                <w:kern w:val="0"/>
                <w:sz w:val="24"/>
                <w:szCs w:val="24"/>
              </w:rPr>
              <w:lastRenderedPageBreak/>
              <w:t>3</w:t>
            </w:r>
            <w:r w:rsidRPr="00124285">
              <w:rPr>
                <w:rFonts w:ascii="仿宋" w:eastAsia="仿宋" w:hAnsi="仿宋" w:cs="宋体" w:hint="eastAsia"/>
                <w:kern w:val="0"/>
                <w:sz w:val="24"/>
                <w:szCs w:val="24"/>
                <w:lang/>
              </w:rPr>
              <w:t>台</w:t>
            </w:r>
          </w:p>
        </w:tc>
      </w:tr>
      <w:tr w:rsidR="00E215CA" w:rsidRPr="00124285" w:rsidTr="00896282">
        <w:trPr>
          <w:trHeight w:val="983"/>
          <w:jc w:val="center"/>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E215CA" w:rsidRPr="00124285" w:rsidRDefault="00E215CA" w:rsidP="00896282">
            <w:pPr>
              <w:widowControl/>
              <w:rPr>
                <w:rFonts w:ascii="仿宋" w:eastAsia="仿宋" w:hAnsi="仿宋" w:cs="宋体"/>
                <w:kern w:val="0"/>
                <w:sz w:val="24"/>
                <w:szCs w:val="24"/>
              </w:rPr>
            </w:pPr>
            <w:r w:rsidRPr="00124285">
              <w:rPr>
                <w:rFonts w:ascii="仿宋" w:eastAsia="仿宋" w:hAnsi="仿宋" w:cs="宋体" w:hint="eastAsia"/>
                <w:sz w:val="24"/>
                <w:szCs w:val="24"/>
              </w:rPr>
              <w:lastRenderedPageBreak/>
              <w:t>分布式存储</w:t>
            </w:r>
            <w:r w:rsidRPr="00124285">
              <w:rPr>
                <w:rFonts w:ascii="仿宋" w:eastAsia="仿宋" w:hAnsi="仿宋" w:cs="宋体" w:hint="eastAsia"/>
                <w:sz w:val="24"/>
                <w:szCs w:val="24"/>
                <w:lang/>
              </w:rPr>
              <w:t>网络交换设备</w:t>
            </w:r>
          </w:p>
        </w:tc>
        <w:tc>
          <w:tcPr>
            <w:tcW w:w="3941" w:type="pct"/>
            <w:tcBorders>
              <w:top w:val="single" w:sz="4" w:space="0" w:color="auto"/>
              <w:left w:val="nil"/>
              <w:bottom w:val="single" w:sz="4" w:space="0" w:color="auto"/>
              <w:right w:val="single" w:sz="4" w:space="0" w:color="auto"/>
            </w:tcBorders>
            <w:shd w:val="clear" w:color="auto" w:fill="auto"/>
            <w:vAlign w:val="center"/>
          </w:tcPr>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hint="eastAsia"/>
                <w:sz w:val="24"/>
              </w:rPr>
              <w:t>★</w:t>
            </w:r>
            <w:r w:rsidRPr="00124285">
              <w:rPr>
                <w:rFonts w:ascii="仿宋" w:eastAsia="仿宋" w:hAnsi="仿宋" w:cs="宋体" w:hint="eastAsia"/>
                <w:sz w:val="24"/>
              </w:rPr>
              <w:t>10G SPF+万兆光口≥1</w:t>
            </w:r>
            <w:r w:rsidRPr="00124285">
              <w:rPr>
                <w:rFonts w:ascii="仿宋" w:eastAsia="仿宋" w:hAnsi="仿宋" w:cs="宋体"/>
                <w:sz w:val="24"/>
              </w:rPr>
              <w:t>2</w:t>
            </w:r>
            <w:r w:rsidRPr="00124285">
              <w:rPr>
                <w:rFonts w:ascii="仿宋" w:eastAsia="仿宋" w:hAnsi="仿宋" w:cs="宋体" w:hint="eastAsia"/>
                <w:sz w:val="24"/>
              </w:rPr>
              <w:t>个，千兆电口≥</w:t>
            </w:r>
            <w:r w:rsidRPr="00124285">
              <w:rPr>
                <w:rFonts w:ascii="仿宋" w:eastAsia="仿宋" w:hAnsi="仿宋" w:cs="宋体"/>
                <w:sz w:val="24"/>
              </w:rPr>
              <w:t>12</w:t>
            </w:r>
            <w:r w:rsidRPr="00124285">
              <w:rPr>
                <w:rFonts w:ascii="仿宋" w:eastAsia="仿宋" w:hAnsi="仿宋" w:cs="宋体" w:hint="eastAsia"/>
                <w:sz w:val="24"/>
              </w:rPr>
              <w:t>个；</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交换性能≥1.28Tbps，包转发率≥400Mpps；</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支持基于交换机单端口、聚合口的ACL策略；支持基于源目IP地址、MAC地址的ACL策略；支持基于协议（例如：OSPF、UDP、ARP），同时支持自定义协议号的ACL策略；支持基于时间的ACL策略；</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支持IEEE 802.3az 标准的 EEE节能技术：当EEE使能时，从而大幅度的减小端口在该阶段的功耗，达到了节能的目的；</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 xml:space="preserve">支持32K MAC地址，支持MAC地址自动学习，支持端口聚合128个，支持手工和静态LACP   </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ARP表≥4k，支持DHCP Server</w:t>
            </w:r>
          </w:p>
          <w:p w:rsidR="00E215CA" w:rsidRPr="00124285" w:rsidRDefault="00E215CA" w:rsidP="00E215CA">
            <w:pPr>
              <w:pStyle w:val="11"/>
              <w:numPr>
                <w:ilvl w:val="0"/>
                <w:numId w:val="10"/>
              </w:numPr>
              <w:ind w:firstLineChars="0"/>
              <w:jc w:val="left"/>
              <w:rPr>
                <w:rFonts w:ascii="仿宋" w:eastAsia="仿宋" w:hAnsi="仿宋" w:cs="宋体"/>
                <w:sz w:val="24"/>
              </w:rPr>
            </w:pPr>
            <w:r w:rsidRPr="00124285">
              <w:rPr>
                <w:rFonts w:ascii="仿宋" w:eastAsia="仿宋" w:hAnsi="仿宋" w:cs="宋体" w:hint="eastAsia"/>
                <w:sz w:val="24"/>
              </w:rPr>
              <w:t>支持静态路由，组播条目≥1k</w:t>
            </w:r>
          </w:p>
        </w:tc>
        <w:tc>
          <w:tcPr>
            <w:tcW w:w="417" w:type="pct"/>
            <w:tcBorders>
              <w:top w:val="single" w:sz="4" w:space="0" w:color="auto"/>
              <w:left w:val="nil"/>
              <w:bottom w:val="single" w:sz="4" w:space="0" w:color="auto"/>
              <w:right w:val="single" w:sz="4" w:space="0" w:color="auto"/>
            </w:tcBorders>
            <w:shd w:val="clear" w:color="auto" w:fill="auto"/>
            <w:vAlign w:val="center"/>
          </w:tcPr>
          <w:p w:rsidR="00E215CA" w:rsidRPr="00124285" w:rsidRDefault="00E215CA" w:rsidP="00896282">
            <w:pPr>
              <w:pBdr>
                <w:top w:val="none" w:sz="0" w:space="0" w:color="000000"/>
                <w:left w:val="none" w:sz="0" w:space="0" w:color="000000"/>
                <w:bottom w:val="none" w:sz="0" w:space="0" w:color="000000"/>
                <w:right w:val="none" w:sz="0" w:space="0" w:color="000000"/>
              </w:pBdr>
              <w:rPr>
                <w:rFonts w:ascii="仿宋" w:eastAsia="仿宋" w:hAnsi="仿宋" w:cs="宋体"/>
                <w:sz w:val="24"/>
                <w:szCs w:val="24"/>
              </w:rPr>
            </w:pPr>
            <w:r w:rsidRPr="00124285">
              <w:rPr>
                <w:rFonts w:ascii="仿宋" w:eastAsia="仿宋" w:hAnsi="仿宋" w:cs="宋体"/>
                <w:sz w:val="24"/>
                <w:szCs w:val="24"/>
              </w:rPr>
              <w:t>2</w:t>
            </w:r>
            <w:r w:rsidRPr="00124285">
              <w:rPr>
                <w:rFonts w:ascii="仿宋" w:eastAsia="仿宋" w:hAnsi="仿宋" w:cs="宋体" w:hint="eastAsia"/>
                <w:sz w:val="24"/>
                <w:szCs w:val="24"/>
                <w:lang/>
              </w:rPr>
              <w:t>台</w:t>
            </w:r>
          </w:p>
        </w:tc>
      </w:tr>
      <w:tr w:rsidR="00E215CA" w:rsidRPr="00124285" w:rsidTr="00896282">
        <w:trPr>
          <w:trHeight w:val="983"/>
          <w:jc w:val="center"/>
        </w:trPr>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E215CA" w:rsidRPr="00124285" w:rsidRDefault="00E215CA" w:rsidP="00896282">
            <w:pPr>
              <w:widowControl/>
              <w:rPr>
                <w:rFonts w:ascii="仿宋" w:eastAsia="仿宋" w:hAnsi="仿宋" w:cs="宋体"/>
                <w:kern w:val="0"/>
                <w:sz w:val="24"/>
                <w:szCs w:val="24"/>
              </w:rPr>
            </w:pPr>
            <w:r w:rsidRPr="00124285">
              <w:rPr>
                <w:rFonts w:ascii="仿宋" w:eastAsia="仿宋" w:hAnsi="仿宋" w:cs="宋体" w:hint="eastAsia"/>
                <w:sz w:val="24"/>
                <w:szCs w:val="24"/>
              </w:rPr>
              <w:t>外网边界防火墙</w:t>
            </w:r>
          </w:p>
        </w:tc>
        <w:tc>
          <w:tcPr>
            <w:tcW w:w="3941" w:type="pct"/>
            <w:tcBorders>
              <w:top w:val="single" w:sz="4" w:space="0" w:color="auto"/>
              <w:left w:val="nil"/>
              <w:bottom w:val="single" w:sz="4" w:space="0" w:color="auto"/>
              <w:right w:val="single" w:sz="4" w:space="0" w:color="auto"/>
            </w:tcBorders>
            <w:shd w:val="clear" w:color="auto" w:fill="auto"/>
            <w:vAlign w:val="center"/>
          </w:tcPr>
          <w:p w:rsidR="00E215CA" w:rsidRPr="00124285" w:rsidRDefault="00E215CA" w:rsidP="00896282">
            <w:pPr>
              <w:widowControl/>
              <w:rPr>
                <w:rFonts w:ascii="仿宋" w:eastAsia="仿宋" w:hAnsi="仿宋" w:cs="宋体"/>
                <w:kern w:val="0"/>
                <w:sz w:val="24"/>
                <w:szCs w:val="24"/>
              </w:rPr>
            </w:pPr>
            <w:r w:rsidRPr="00124285">
              <w:rPr>
                <w:rFonts w:ascii="仿宋" w:eastAsia="仿宋" w:hAnsi="仿宋" w:cs="宋体" w:hint="eastAsia"/>
                <w:kern w:val="0"/>
                <w:sz w:val="24"/>
                <w:szCs w:val="24"/>
              </w:rPr>
              <w:t>1、</w:t>
            </w:r>
            <w:r w:rsidRPr="00124285">
              <w:rPr>
                <w:rFonts w:ascii="仿宋" w:eastAsia="仿宋" w:hAnsi="仿宋" w:hint="eastAsia"/>
                <w:sz w:val="24"/>
                <w:szCs w:val="24"/>
              </w:rPr>
              <w:t>★</w:t>
            </w:r>
            <w:r w:rsidRPr="00124285">
              <w:rPr>
                <w:rFonts w:ascii="仿宋" w:eastAsia="仿宋" w:hAnsi="仿宋" w:cs="宋体" w:hint="eastAsia"/>
                <w:kern w:val="0"/>
                <w:sz w:val="24"/>
                <w:szCs w:val="24"/>
              </w:rPr>
              <w:t>网络层吞吐量≥</w:t>
            </w:r>
            <w:r w:rsidRPr="00124285">
              <w:rPr>
                <w:rFonts w:ascii="仿宋" w:eastAsia="仿宋" w:hAnsi="仿宋" w:cs="宋体"/>
                <w:kern w:val="0"/>
                <w:sz w:val="24"/>
                <w:szCs w:val="24"/>
              </w:rPr>
              <w:t>20</w:t>
            </w:r>
            <w:r w:rsidRPr="00124285">
              <w:rPr>
                <w:rFonts w:ascii="仿宋" w:eastAsia="仿宋" w:hAnsi="仿宋" w:cs="宋体" w:hint="eastAsia"/>
                <w:kern w:val="0"/>
                <w:sz w:val="24"/>
                <w:szCs w:val="24"/>
              </w:rPr>
              <w:t>G，应用层吞吐量≥</w:t>
            </w:r>
            <w:r w:rsidRPr="00124285">
              <w:rPr>
                <w:rFonts w:ascii="仿宋" w:eastAsia="仿宋" w:hAnsi="仿宋" w:cs="宋体"/>
                <w:kern w:val="0"/>
                <w:sz w:val="24"/>
                <w:szCs w:val="24"/>
              </w:rPr>
              <w:t>8</w:t>
            </w:r>
            <w:r w:rsidRPr="00124285">
              <w:rPr>
                <w:rFonts w:ascii="仿宋" w:eastAsia="仿宋" w:hAnsi="仿宋" w:cs="宋体" w:hint="eastAsia"/>
                <w:kern w:val="0"/>
                <w:sz w:val="24"/>
                <w:szCs w:val="24"/>
                <w:lang/>
              </w:rPr>
              <w:t>G</w:t>
            </w:r>
            <w:r w:rsidRPr="00124285">
              <w:rPr>
                <w:rFonts w:ascii="仿宋" w:eastAsia="仿宋" w:hAnsi="仿宋" w:cs="宋体" w:hint="eastAsia"/>
                <w:kern w:val="0"/>
                <w:sz w:val="24"/>
                <w:szCs w:val="24"/>
              </w:rPr>
              <w:t>，并发连接数≥</w:t>
            </w:r>
            <w:r w:rsidRPr="00124285">
              <w:rPr>
                <w:rFonts w:ascii="仿宋" w:eastAsia="仿宋" w:hAnsi="仿宋" w:cs="宋体"/>
                <w:kern w:val="0"/>
                <w:sz w:val="24"/>
                <w:szCs w:val="24"/>
              </w:rPr>
              <w:t>22</w:t>
            </w:r>
            <w:r w:rsidRPr="00124285">
              <w:rPr>
                <w:rFonts w:ascii="仿宋" w:eastAsia="仿宋" w:hAnsi="仿宋" w:cs="宋体" w:hint="eastAsia"/>
                <w:kern w:val="0"/>
                <w:sz w:val="24"/>
                <w:szCs w:val="24"/>
              </w:rPr>
              <w:t>00000，新建连接数（CPS）≥</w:t>
            </w:r>
            <w:r w:rsidRPr="00124285">
              <w:rPr>
                <w:rFonts w:ascii="仿宋" w:eastAsia="仿宋" w:hAnsi="仿宋" w:cs="宋体"/>
                <w:kern w:val="0"/>
                <w:sz w:val="24"/>
                <w:szCs w:val="24"/>
              </w:rPr>
              <w:t>15</w:t>
            </w:r>
            <w:r w:rsidRPr="00124285">
              <w:rPr>
                <w:rFonts w:ascii="仿宋" w:eastAsia="仿宋" w:hAnsi="仿宋" w:cs="宋体" w:hint="eastAsia"/>
                <w:kern w:val="0"/>
                <w:sz w:val="24"/>
                <w:szCs w:val="24"/>
              </w:rPr>
              <w:t>0000，≥</w:t>
            </w:r>
            <w:r w:rsidRPr="00124285">
              <w:rPr>
                <w:rFonts w:ascii="仿宋" w:eastAsia="仿宋" w:hAnsi="仿宋" w:cs="宋体"/>
                <w:kern w:val="0"/>
                <w:sz w:val="24"/>
                <w:szCs w:val="24"/>
              </w:rPr>
              <w:t>8</w:t>
            </w:r>
            <w:r w:rsidRPr="00124285">
              <w:rPr>
                <w:rFonts w:ascii="仿宋" w:eastAsia="仿宋" w:hAnsi="仿宋" w:cs="宋体" w:hint="eastAsia"/>
                <w:kern w:val="0"/>
                <w:sz w:val="24"/>
                <w:szCs w:val="24"/>
              </w:rPr>
              <w:t>G内存，≥</w:t>
            </w:r>
            <w:r w:rsidRPr="00124285">
              <w:rPr>
                <w:rFonts w:ascii="仿宋" w:eastAsia="仿宋" w:hAnsi="仿宋" w:cs="宋体"/>
                <w:kern w:val="0"/>
                <w:sz w:val="24"/>
                <w:szCs w:val="24"/>
              </w:rPr>
              <w:t>128</w:t>
            </w:r>
            <w:r w:rsidRPr="00124285">
              <w:rPr>
                <w:rFonts w:ascii="仿宋" w:eastAsia="仿宋" w:hAnsi="仿宋" w:cs="宋体" w:hint="eastAsia"/>
                <w:kern w:val="0"/>
                <w:sz w:val="24"/>
                <w:szCs w:val="24"/>
              </w:rPr>
              <w:t>G SSD，≥6个千兆电口，≥</w:t>
            </w:r>
            <w:r w:rsidRPr="00124285">
              <w:rPr>
                <w:rFonts w:ascii="仿宋" w:eastAsia="仿宋" w:hAnsi="仿宋" w:cs="宋体"/>
                <w:kern w:val="0"/>
                <w:sz w:val="24"/>
                <w:szCs w:val="24"/>
              </w:rPr>
              <w:t>2</w:t>
            </w:r>
            <w:r w:rsidRPr="00124285">
              <w:rPr>
                <w:rFonts w:ascii="仿宋" w:eastAsia="仿宋" w:hAnsi="仿宋" w:cs="宋体" w:hint="eastAsia"/>
                <w:kern w:val="0"/>
                <w:sz w:val="24"/>
                <w:szCs w:val="24"/>
              </w:rPr>
              <w:t>个</w:t>
            </w:r>
            <w:r w:rsidRPr="00124285">
              <w:rPr>
                <w:rFonts w:ascii="仿宋" w:eastAsia="仿宋" w:hAnsi="仿宋" w:cs="宋体" w:hint="eastAsia"/>
                <w:kern w:val="0"/>
                <w:sz w:val="24"/>
                <w:szCs w:val="24"/>
                <w:lang/>
              </w:rPr>
              <w:t>万</w:t>
            </w:r>
            <w:r w:rsidRPr="00124285">
              <w:rPr>
                <w:rFonts w:ascii="仿宋" w:eastAsia="仿宋" w:hAnsi="仿宋" w:cs="宋体" w:hint="eastAsia"/>
                <w:kern w:val="0"/>
                <w:sz w:val="24"/>
                <w:szCs w:val="24"/>
              </w:rPr>
              <w:t>兆光口，配备IPS,Web应用防护等功能模块</w:t>
            </w:r>
            <w:r w:rsidRPr="00124285">
              <w:rPr>
                <w:rFonts w:ascii="仿宋" w:eastAsia="仿宋" w:hAnsi="仿宋" w:cs="宋体"/>
                <w:kern w:val="0"/>
                <w:sz w:val="24"/>
                <w:szCs w:val="24"/>
              </w:rPr>
              <w:t>，3</w:t>
            </w:r>
            <w:r w:rsidRPr="00124285">
              <w:rPr>
                <w:rFonts w:ascii="仿宋" w:eastAsia="仿宋" w:hAnsi="仿宋" w:cs="宋体" w:hint="eastAsia"/>
                <w:kern w:val="0"/>
                <w:sz w:val="24"/>
                <w:szCs w:val="24"/>
                <w:lang/>
              </w:rPr>
              <w:t>年软件升级</w:t>
            </w:r>
            <w:r w:rsidRPr="00124285">
              <w:rPr>
                <w:rFonts w:ascii="仿宋" w:eastAsia="仿宋" w:hAnsi="仿宋" w:cs="宋体"/>
                <w:kern w:val="0"/>
                <w:sz w:val="24"/>
                <w:szCs w:val="24"/>
                <w:lang/>
              </w:rPr>
              <w:t>、</w:t>
            </w:r>
            <w:r w:rsidRPr="00124285">
              <w:rPr>
                <w:rFonts w:ascii="仿宋" w:eastAsia="仿宋" w:hAnsi="仿宋" w:cs="宋体" w:hint="eastAsia"/>
                <w:kern w:val="0"/>
                <w:sz w:val="24"/>
                <w:szCs w:val="24"/>
                <w:lang/>
              </w:rPr>
              <w:t>病毒库升级</w:t>
            </w:r>
            <w:r w:rsidRPr="00124285">
              <w:rPr>
                <w:rFonts w:ascii="仿宋" w:eastAsia="仿宋" w:hAnsi="仿宋" w:cs="宋体"/>
                <w:kern w:val="0"/>
                <w:sz w:val="24"/>
                <w:szCs w:val="24"/>
                <w:lang/>
              </w:rPr>
              <w:t>、</w:t>
            </w:r>
            <w:r w:rsidRPr="00124285">
              <w:rPr>
                <w:rFonts w:ascii="仿宋" w:eastAsia="仿宋" w:hAnsi="仿宋" w:cs="宋体" w:hint="eastAsia"/>
                <w:kern w:val="0"/>
                <w:sz w:val="24"/>
                <w:szCs w:val="24"/>
                <w:lang/>
              </w:rPr>
              <w:t>特征库升级</w:t>
            </w:r>
            <w:r w:rsidRPr="00124285">
              <w:rPr>
                <w:rFonts w:ascii="仿宋" w:eastAsia="仿宋" w:hAnsi="仿宋" w:cs="宋体"/>
                <w:kern w:val="0"/>
                <w:sz w:val="24"/>
                <w:szCs w:val="24"/>
                <w:lang/>
              </w:rPr>
              <w:t>、</w:t>
            </w:r>
            <w:r w:rsidRPr="00124285">
              <w:rPr>
                <w:rFonts w:ascii="仿宋" w:eastAsia="仿宋" w:hAnsi="仿宋" w:cs="宋体" w:hint="eastAsia"/>
                <w:kern w:val="0"/>
                <w:sz w:val="24"/>
                <w:szCs w:val="24"/>
                <w:lang/>
              </w:rPr>
              <w:t>硬件质保</w:t>
            </w:r>
            <w:r w:rsidRPr="00124285">
              <w:rPr>
                <w:rFonts w:ascii="仿宋" w:eastAsia="仿宋" w:hAnsi="仿宋" w:cs="宋体"/>
                <w:kern w:val="0"/>
                <w:sz w:val="24"/>
                <w:szCs w:val="24"/>
                <w:lang/>
              </w:rPr>
              <w:t>。</w:t>
            </w:r>
            <w:r w:rsidRPr="00124285">
              <w:rPr>
                <w:rFonts w:ascii="仿宋" w:eastAsia="仿宋" w:hAnsi="仿宋" w:cs="宋体" w:hint="eastAsia"/>
                <w:kern w:val="0"/>
                <w:sz w:val="24"/>
                <w:szCs w:val="24"/>
              </w:rPr>
              <w:br/>
              <w:t>2、</w:t>
            </w:r>
            <w:r w:rsidRPr="00124285">
              <w:rPr>
                <w:rFonts w:ascii="仿宋" w:eastAsia="仿宋" w:hAnsi="仿宋" w:cs="宋体"/>
                <w:kern w:val="0"/>
                <w:sz w:val="24"/>
                <w:szCs w:val="24"/>
              </w:rPr>
              <w:t>▲</w:t>
            </w:r>
            <w:r w:rsidRPr="00124285">
              <w:rPr>
                <w:rFonts w:ascii="仿宋" w:eastAsia="仿宋" w:hAnsi="仿宋" w:cs="宋体" w:hint="eastAsia"/>
                <w:kern w:val="0"/>
                <w:sz w:val="24"/>
                <w:szCs w:val="24"/>
              </w:rPr>
              <w:t>产品采用多核并行安全操作系统，能够提高设备处理性能（提供中国信息安全测评中心、公安部信息安全产品检测中心、国家版权局等任一家国家权威机构相关证明材料）</w:t>
            </w:r>
            <w:r w:rsidRPr="00124285">
              <w:rPr>
                <w:rFonts w:ascii="仿宋" w:eastAsia="仿宋" w:hAnsi="仿宋" w:cs="宋体" w:hint="eastAsia"/>
                <w:kern w:val="0"/>
                <w:sz w:val="24"/>
                <w:szCs w:val="24"/>
              </w:rPr>
              <w:br/>
              <w:t xml:space="preserve">3、要求具有单独的漏洞攻击库、实时漏洞库、应用识别库、数据泄露防护库、web应用防护库； </w:t>
            </w:r>
            <w:r w:rsidRPr="00124285">
              <w:rPr>
                <w:rFonts w:ascii="仿宋" w:eastAsia="仿宋" w:hAnsi="仿宋" w:cs="宋体" w:hint="eastAsia"/>
                <w:kern w:val="0"/>
                <w:sz w:val="24"/>
                <w:szCs w:val="24"/>
              </w:rPr>
              <w:br/>
              <w:t>4、支持根据国家/地区来进行地域访问控制；</w:t>
            </w:r>
            <w:r w:rsidRPr="00124285">
              <w:rPr>
                <w:rFonts w:ascii="仿宋" w:eastAsia="仿宋" w:hAnsi="仿宋" w:cs="宋体" w:hint="eastAsia"/>
                <w:kern w:val="0"/>
                <w:sz w:val="24"/>
                <w:szCs w:val="24"/>
              </w:rPr>
              <w:br/>
              <w:t>5、具有安全运营中心功能，可在设备界面进行一键评估，评估内容包括服务器和主机的资产更新情况、脆弱性评估、策略动作的合理化监控、当前待处理的紧急事件以及当前服务器与主机的安全风险，便于管理员直观的了解整体网络状况，做出相应安全策略配置；</w:t>
            </w:r>
            <w:r w:rsidRPr="00124285">
              <w:rPr>
                <w:rFonts w:ascii="仿宋" w:eastAsia="仿宋" w:hAnsi="仿宋" w:cs="宋体" w:hint="eastAsia"/>
                <w:kern w:val="0"/>
                <w:sz w:val="24"/>
                <w:szCs w:val="24"/>
              </w:rPr>
              <w:br/>
              <w:t xml:space="preserve">6、为保障安全可靠性，避免因设备宕机而引起网络故障，支持主备模式部署，实现高可用； </w:t>
            </w:r>
            <w:r w:rsidRPr="00124285">
              <w:rPr>
                <w:rFonts w:ascii="仿宋" w:eastAsia="仿宋" w:hAnsi="仿宋" w:cs="宋体" w:hint="eastAsia"/>
                <w:kern w:val="0"/>
                <w:sz w:val="24"/>
                <w:szCs w:val="24"/>
              </w:rPr>
              <w:br/>
              <w:t>7、DDoS攻击防护：支持Land、Smurf、Fraggle、WinNuke、Ping of Death、Tear Drop、IP Spoofing攻击防护、支持SYN Flood、ICMP Flood、UDP Flood、DNS Flood、ARP Flood攻击防护，</w:t>
            </w:r>
            <w:r w:rsidRPr="00124285">
              <w:rPr>
                <w:rFonts w:ascii="仿宋" w:eastAsia="仿宋" w:hAnsi="仿宋" w:cs="宋体" w:hint="eastAsia"/>
                <w:kern w:val="0"/>
                <w:sz w:val="24"/>
                <w:szCs w:val="24"/>
              </w:rPr>
              <w:lastRenderedPageBreak/>
              <w:t>支持IP地址扫描，端口扫描防护，支持ARP欺骗防护功能、支持IP协议异常报文检测和TCP协议异常报文检测。</w:t>
            </w:r>
            <w:r w:rsidRPr="00124285">
              <w:rPr>
                <w:rFonts w:ascii="仿宋" w:eastAsia="仿宋" w:hAnsi="仿宋" w:cs="宋体" w:hint="eastAsia"/>
                <w:kern w:val="0"/>
                <w:sz w:val="24"/>
                <w:szCs w:val="24"/>
              </w:rPr>
              <w:br/>
              <w:t>8、设备需要具备web业务自学习能力，可自行判断与标记业务特征，确认业务模型学习趋势；</w:t>
            </w:r>
            <w:r w:rsidRPr="00124285">
              <w:rPr>
                <w:rFonts w:ascii="仿宋" w:eastAsia="仿宋" w:hAnsi="仿宋" w:cs="宋体" w:hint="eastAsia"/>
                <w:kern w:val="0"/>
                <w:sz w:val="24"/>
                <w:szCs w:val="24"/>
              </w:rPr>
              <w:br/>
              <w:t xml:space="preserve">9、支持对常见应用服务（HTTP、FTP、SSH、SMTP、IMAP）和数据库软件（MySQL、Oracle、MSSQL）的口令暴力破解防护功能。具备防护常见网络协议（SSH、FTP、RDP、VNC、Netbios）和数据库（MySQL、Oracle、MSSQL）的弱密码扫描功能； </w:t>
            </w:r>
            <w:r w:rsidRPr="00124285">
              <w:rPr>
                <w:rFonts w:ascii="仿宋" w:eastAsia="仿宋" w:hAnsi="仿宋" w:cs="宋体" w:hint="eastAsia"/>
                <w:kern w:val="0"/>
                <w:sz w:val="24"/>
                <w:szCs w:val="24"/>
              </w:rPr>
              <w:br/>
              <w:t>10、</w:t>
            </w:r>
            <w:r w:rsidRPr="00124285">
              <w:rPr>
                <w:rFonts w:ascii="仿宋" w:eastAsia="仿宋" w:hAnsi="仿宋" w:cs="宋体"/>
                <w:kern w:val="0"/>
                <w:sz w:val="24"/>
                <w:szCs w:val="24"/>
              </w:rPr>
              <w:t>▲</w:t>
            </w:r>
            <w:r w:rsidRPr="00124285">
              <w:rPr>
                <w:rFonts w:ascii="仿宋" w:eastAsia="仿宋" w:hAnsi="仿宋" w:cs="宋体" w:hint="eastAsia"/>
                <w:kern w:val="0"/>
                <w:sz w:val="24"/>
                <w:szCs w:val="24"/>
              </w:rPr>
              <w:t>支持Web漏洞扫描功能，可扫描检测网站是否存在SQL注入、XSS、跨站脚本、目录遍历、文件包含、命令执行等脚本漏洞；（需提供相关功能截图证明）</w:t>
            </w:r>
            <w:r w:rsidRPr="00124285">
              <w:rPr>
                <w:rFonts w:ascii="仿宋" w:eastAsia="仿宋" w:hAnsi="仿宋" w:cs="宋体" w:hint="eastAsia"/>
                <w:kern w:val="0"/>
                <w:sz w:val="24"/>
                <w:szCs w:val="24"/>
              </w:rPr>
              <w:br/>
              <w:t>11、提供安全报表，报表内容体现被保护对象的整体安全等级，发现漏洞情况以及遭受到攻击的漏洞统计，可以查看到有效攻击行为次数和攻击趋势。</w:t>
            </w:r>
            <w:r w:rsidRPr="00124285">
              <w:rPr>
                <w:rFonts w:ascii="仿宋" w:eastAsia="仿宋" w:hAnsi="仿宋" w:cs="宋体" w:hint="eastAsia"/>
                <w:kern w:val="0"/>
                <w:sz w:val="24"/>
                <w:szCs w:val="24"/>
              </w:rPr>
              <w:br/>
              <w:t>12、</w:t>
            </w:r>
            <w:r w:rsidRPr="00124285">
              <w:rPr>
                <w:rFonts w:ascii="仿宋" w:eastAsia="仿宋" w:hAnsi="仿宋" w:cs="宋体"/>
                <w:kern w:val="0"/>
                <w:sz w:val="24"/>
                <w:szCs w:val="24"/>
              </w:rPr>
              <w:t>▲</w:t>
            </w:r>
            <w:r w:rsidRPr="00124285">
              <w:rPr>
                <w:rFonts w:ascii="仿宋" w:eastAsia="仿宋" w:hAnsi="仿宋" w:cs="宋体" w:hint="eastAsia"/>
                <w:kern w:val="0"/>
                <w:sz w:val="24"/>
                <w:szCs w:val="24"/>
              </w:rPr>
              <w:t>产品具备未知威胁检测能力，能够检测到最新的威胁（提供中国信息安全测评中心、公安部信息安全产品检测中心、国家版权局等任一家国家权威机构相关证明材料）</w:t>
            </w:r>
            <w:r w:rsidRPr="00124285">
              <w:rPr>
                <w:rFonts w:ascii="仿宋" w:eastAsia="仿宋" w:hAnsi="仿宋" w:cs="宋体" w:hint="eastAsia"/>
                <w:kern w:val="0"/>
                <w:sz w:val="24"/>
                <w:szCs w:val="24"/>
              </w:rPr>
              <w:br/>
              <w:t>13、</w:t>
            </w:r>
            <w:r w:rsidRPr="00124285">
              <w:rPr>
                <w:rFonts w:ascii="仿宋" w:eastAsia="仿宋" w:hAnsi="仿宋" w:cs="宋体"/>
                <w:kern w:val="0"/>
                <w:sz w:val="24"/>
                <w:szCs w:val="24"/>
              </w:rPr>
              <w:t>▲</w:t>
            </w:r>
            <w:r w:rsidRPr="00124285">
              <w:rPr>
                <w:rFonts w:ascii="仿宋" w:eastAsia="仿宋" w:hAnsi="仿宋" w:cs="宋体" w:hint="eastAsia"/>
                <w:kern w:val="0"/>
                <w:sz w:val="24"/>
                <w:szCs w:val="24"/>
              </w:rPr>
              <w:t>为保障兼容性要求与</w:t>
            </w:r>
            <w:r w:rsidRPr="00124285">
              <w:rPr>
                <w:rFonts w:ascii="仿宋" w:eastAsia="仿宋" w:hAnsi="仿宋" w:cs="宋体" w:hint="eastAsia"/>
                <w:kern w:val="0"/>
                <w:sz w:val="24"/>
                <w:szCs w:val="24"/>
                <w:lang/>
              </w:rPr>
              <w:t>分布式存储设备</w:t>
            </w:r>
            <w:r w:rsidRPr="00124285">
              <w:rPr>
                <w:rFonts w:ascii="仿宋" w:eastAsia="仿宋" w:hAnsi="仿宋" w:cs="宋体" w:hint="eastAsia"/>
                <w:kern w:val="0"/>
                <w:sz w:val="24"/>
                <w:szCs w:val="24"/>
              </w:rPr>
              <w:t>为同一品牌；</w:t>
            </w:r>
          </w:p>
        </w:tc>
        <w:tc>
          <w:tcPr>
            <w:tcW w:w="417" w:type="pct"/>
            <w:tcBorders>
              <w:top w:val="single" w:sz="4" w:space="0" w:color="auto"/>
              <w:left w:val="nil"/>
              <w:bottom w:val="single" w:sz="4" w:space="0" w:color="auto"/>
              <w:right w:val="single" w:sz="4" w:space="0" w:color="auto"/>
            </w:tcBorders>
            <w:shd w:val="clear" w:color="auto" w:fill="auto"/>
            <w:vAlign w:val="center"/>
          </w:tcPr>
          <w:p w:rsidR="00E215CA" w:rsidRPr="00124285" w:rsidRDefault="00124285" w:rsidP="00896282">
            <w:pPr>
              <w:widowControl/>
              <w:rPr>
                <w:rFonts w:ascii="仿宋" w:eastAsia="仿宋" w:hAnsi="仿宋" w:cs="宋体"/>
                <w:kern w:val="0"/>
                <w:sz w:val="24"/>
                <w:szCs w:val="24"/>
              </w:rPr>
            </w:pPr>
            <w:r>
              <w:rPr>
                <w:rFonts w:ascii="仿宋" w:eastAsia="仿宋" w:hAnsi="仿宋" w:cs="宋体" w:hint="eastAsia"/>
                <w:kern w:val="0"/>
                <w:sz w:val="24"/>
                <w:szCs w:val="24"/>
              </w:rPr>
              <w:lastRenderedPageBreak/>
              <w:t>1台</w:t>
            </w:r>
          </w:p>
        </w:tc>
      </w:tr>
    </w:tbl>
    <w:p w:rsidR="006830DE" w:rsidRPr="00E215CA" w:rsidRDefault="006830DE">
      <w:pPr>
        <w:spacing w:line="360" w:lineRule="auto"/>
        <w:ind w:firstLineChars="100" w:firstLine="240"/>
        <w:rPr>
          <w:rFonts w:ascii="仿宋" w:eastAsia="仿宋" w:hAnsi="仿宋"/>
          <w:color w:val="000000"/>
          <w:sz w:val="24"/>
          <w:szCs w:val="24"/>
        </w:rPr>
      </w:pPr>
    </w:p>
    <w:sectPr w:rsidR="006830DE" w:rsidRPr="00E215CA" w:rsidSect="004E7FFC">
      <w:foot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003" w:rsidRDefault="007B3003">
      <w:r>
        <w:separator/>
      </w:r>
    </w:p>
  </w:endnote>
  <w:endnote w:type="continuationSeparator" w:id="1">
    <w:p w:rsidR="007B3003" w:rsidRDefault="007B30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602908"/>
      <w:docPartObj>
        <w:docPartGallery w:val="AutoText"/>
      </w:docPartObj>
    </w:sdtPr>
    <w:sdtEndPr>
      <w:rPr>
        <w:rFonts w:ascii="仿宋" w:eastAsia="仿宋" w:hAnsi="仿宋"/>
        <w:sz w:val="24"/>
        <w:szCs w:val="24"/>
      </w:rPr>
    </w:sdtEndPr>
    <w:sdtContent>
      <w:p w:rsidR="006830DE" w:rsidRDefault="004E7FFC">
        <w:pPr>
          <w:pStyle w:val="a6"/>
          <w:jc w:val="center"/>
          <w:rPr>
            <w:rFonts w:ascii="仿宋" w:eastAsia="仿宋" w:hAnsi="仿宋"/>
            <w:sz w:val="24"/>
            <w:szCs w:val="24"/>
          </w:rPr>
        </w:pPr>
        <w:r>
          <w:rPr>
            <w:rFonts w:ascii="仿宋" w:eastAsia="仿宋" w:hAnsi="仿宋"/>
            <w:sz w:val="24"/>
            <w:szCs w:val="24"/>
          </w:rPr>
          <w:fldChar w:fldCharType="begin"/>
        </w:r>
        <w:r w:rsidR="00C16575">
          <w:rPr>
            <w:rFonts w:ascii="仿宋" w:eastAsia="仿宋" w:hAnsi="仿宋"/>
            <w:sz w:val="24"/>
            <w:szCs w:val="24"/>
          </w:rPr>
          <w:instrText>PAGE   \* MERGEFORMAT</w:instrText>
        </w:r>
        <w:r>
          <w:rPr>
            <w:rFonts w:ascii="仿宋" w:eastAsia="仿宋" w:hAnsi="仿宋"/>
            <w:sz w:val="24"/>
            <w:szCs w:val="24"/>
          </w:rPr>
          <w:fldChar w:fldCharType="separate"/>
        </w:r>
        <w:r w:rsidR="000D3FD6" w:rsidRPr="000D3FD6">
          <w:rPr>
            <w:rFonts w:ascii="仿宋" w:eastAsia="仿宋" w:hAnsi="仿宋"/>
            <w:noProof/>
            <w:sz w:val="24"/>
            <w:szCs w:val="24"/>
            <w:lang w:val="zh-CN"/>
          </w:rPr>
          <w:t>2</w:t>
        </w:r>
        <w:r>
          <w:rPr>
            <w:rFonts w:ascii="仿宋" w:eastAsia="仿宋" w:hAnsi="仿宋"/>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003" w:rsidRDefault="007B3003">
      <w:r>
        <w:separator/>
      </w:r>
    </w:p>
  </w:footnote>
  <w:footnote w:type="continuationSeparator" w:id="1">
    <w:p w:rsidR="007B3003" w:rsidRDefault="007B30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95396"/>
    <w:multiLevelType w:val="multilevel"/>
    <w:tmpl w:val="15D9539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6F44392"/>
    <w:multiLevelType w:val="hybridMultilevel"/>
    <w:tmpl w:val="06AEAEC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7F4288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nsid w:val="23371B09"/>
    <w:multiLevelType w:val="hybridMultilevel"/>
    <w:tmpl w:val="C244387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2C14C12"/>
    <w:multiLevelType w:val="hybridMultilevel"/>
    <w:tmpl w:val="064875F0"/>
    <w:lvl w:ilvl="0" w:tplc="04090013">
      <w:start w:val="1"/>
      <w:numFmt w:val="chineseCountingThousand"/>
      <w:lvlText w:val="%1、"/>
      <w:lvlJc w:val="left"/>
      <w:pPr>
        <w:ind w:left="720" w:hanging="720"/>
      </w:pPr>
      <w:rPr>
        <w:rFonts w:hint="default"/>
      </w:rPr>
    </w:lvl>
    <w:lvl w:ilvl="1" w:tplc="04090019">
      <w:start w:val="1"/>
      <w:numFmt w:val="lowerLetter"/>
      <w:lvlText w:val="%2)"/>
      <w:lvlJc w:val="left"/>
      <w:pPr>
        <w:ind w:left="840" w:hanging="420"/>
      </w:pPr>
    </w:lvl>
    <w:lvl w:ilvl="2" w:tplc="F8E4E670">
      <w:start w:val="1"/>
      <w:numFmt w:val="decimal"/>
      <w:lvlText w:val="%3）"/>
      <w:lvlJc w:val="left"/>
      <w:pPr>
        <w:ind w:left="1680" w:hanging="84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2CA3A03"/>
    <w:multiLevelType w:val="multilevel"/>
    <w:tmpl w:val="32CA3A03"/>
    <w:lvl w:ilvl="0">
      <w:start w:val="1"/>
      <w:numFmt w:val="decimal"/>
      <w:lvlText w:val="%1、"/>
      <w:lvlJc w:val="left"/>
      <w:pPr>
        <w:ind w:left="1000" w:hanging="720"/>
      </w:pPr>
      <w:rPr>
        <w:rFonts w:hint="default"/>
      </w:r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6">
    <w:nsid w:val="47A25F96"/>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7D44C36"/>
    <w:multiLevelType w:val="hybridMultilevel"/>
    <w:tmpl w:val="F0E29D6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4FBF24E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50FC2154"/>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48541E2"/>
    <w:multiLevelType w:val="hybridMultilevel"/>
    <w:tmpl w:val="909AF62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nsid w:val="57DC657A"/>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EC227D8"/>
    <w:multiLevelType w:val="singleLevel"/>
    <w:tmpl w:val="5EC227D8"/>
    <w:lvl w:ilvl="0">
      <w:start w:val="1"/>
      <w:numFmt w:val="decimal"/>
      <w:suff w:val="nothing"/>
      <w:lvlText w:val="%1."/>
      <w:lvlJc w:val="left"/>
    </w:lvl>
  </w:abstractNum>
  <w:abstractNum w:abstractNumId="13">
    <w:nsid w:val="660050B8"/>
    <w:multiLevelType w:val="hybridMultilevel"/>
    <w:tmpl w:val="CF58029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7FBB038A"/>
    <w:multiLevelType w:val="hybridMultilevel"/>
    <w:tmpl w:val="B4DAB2AA"/>
    <w:lvl w:ilvl="0" w:tplc="5558910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4"/>
  </w:num>
  <w:num w:numId="3">
    <w:abstractNumId w:val="4"/>
  </w:num>
  <w:num w:numId="4">
    <w:abstractNumId w:val="8"/>
  </w:num>
  <w:num w:numId="5">
    <w:abstractNumId w:val="2"/>
  </w:num>
  <w:num w:numId="6">
    <w:abstractNumId w:val="9"/>
  </w:num>
  <w:num w:numId="7">
    <w:abstractNumId w:val="6"/>
  </w:num>
  <w:num w:numId="8">
    <w:abstractNumId w:val="11"/>
  </w:num>
  <w:num w:numId="9">
    <w:abstractNumId w:val="12"/>
  </w:num>
  <w:num w:numId="10">
    <w:abstractNumId w:val="0"/>
  </w:num>
  <w:num w:numId="11">
    <w:abstractNumId w:val="7"/>
  </w:num>
  <w:num w:numId="12">
    <w:abstractNumId w:val="3"/>
  </w:num>
  <w:num w:numId="13">
    <w:abstractNumId w:val="1"/>
  </w:num>
  <w:num w:numId="14">
    <w:abstractNumId w:val="1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8176C"/>
    <w:rsid w:val="00007DD6"/>
    <w:rsid w:val="000319D4"/>
    <w:rsid w:val="000672DE"/>
    <w:rsid w:val="00082499"/>
    <w:rsid w:val="00086C28"/>
    <w:rsid w:val="000C12DC"/>
    <w:rsid w:val="000D3FD6"/>
    <w:rsid w:val="000E58EB"/>
    <w:rsid w:val="00117014"/>
    <w:rsid w:val="001240F7"/>
    <w:rsid w:val="00124285"/>
    <w:rsid w:val="00142F26"/>
    <w:rsid w:val="00143676"/>
    <w:rsid w:val="0014633E"/>
    <w:rsid w:val="00161196"/>
    <w:rsid w:val="0016151B"/>
    <w:rsid w:val="001820CD"/>
    <w:rsid w:val="001F1586"/>
    <w:rsid w:val="002118AD"/>
    <w:rsid w:val="00221173"/>
    <w:rsid w:val="00223E16"/>
    <w:rsid w:val="00226CD3"/>
    <w:rsid w:val="00245414"/>
    <w:rsid w:val="00252187"/>
    <w:rsid w:val="002566CF"/>
    <w:rsid w:val="00266946"/>
    <w:rsid w:val="0028499B"/>
    <w:rsid w:val="002B2A10"/>
    <w:rsid w:val="002C6CC0"/>
    <w:rsid w:val="002E003C"/>
    <w:rsid w:val="002E012E"/>
    <w:rsid w:val="0030541D"/>
    <w:rsid w:val="00320F50"/>
    <w:rsid w:val="00322AB6"/>
    <w:rsid w:val="003813A7"/>
    <w:rsid w:val="003A4FC8"/>
    <w:rsid w:val="003B11FB"/>
    <w:rsid w:val="003C4A84"/>
    <w:rsid w:val="003C651A"/>
    <w:rsid w:val="003E1769"/>
    <w:rsid w:val="003E6668"/>
    <w:rsid w:val="00411232"/>
    <w:rsid w:val="004420E8"/>
    <w:rsid w:val="00442269"/>
    <w:rsid w:val="00445630"/>
    <w:rsid w:val="00454B5E"/>
    <w:rsid w:val="00466EDA"/>
    <w:rsid w:val="004A3D38"/>
    <w:rsid w:val="004D35DE"/>
    <w:rsid w:val="004E7FFC"/>
    <w:rsid w:val="004F2AA2"/>
    <w:rsid w:val="00504883"/>
    <w:rsid w:val="00506E51"/>
    <w:rsid w:val="00542B6C"/>
    <w:rsid w:val="005538C4"/>
    <w:rsid w:val="00566917"/>
    <w:rsid w:val="005A7FAF"/>
    <w:rsid w:val="005B1F30"/>
    <w:rsid w:val="005B4B3A"/>
    <w:rsid w:val="005C1DC6"/>
    <w:rsid w:val="005C35FC"/>
    <w:rsid w:val="005D6B17"/>
    <w:rsid w:val="005F0655"/>
    <w:rsid w:val="00603687"/>
    <w:rsid w:val="00604A29"/>
    <w:rsid w:val="006331CA"/>
    <w:rsid w:val="00633480"/>
    <w:rsid w:val="0063521A"/>
    <w:rsid w:val="0064502E"/>
    <w:rsid w:val="00652155"/>
    <w:rsid w:val="006677C0"/>
    <w:rsid w:val="006830DE"/>
    <w:rsid w:val="006A0C1E"/>
    <w:rsid w:val="006E7F74"/>
    <w:rsid w:val="00715EC9"/>
    <w:rsid w:val="00736B2F"/>
    <w:rsid w:val="007915F1"/>
    <w:rsid w:val="007A008E"/>
    <w:rsid w:val="007B3003"/>
    <w:rsid w:val="007D412E"/>
    <w:rsid w:val="008059D8"/>
    <w:rsid w:val="00806543"/>
    <w:rsid w:val="008133F3"/>
    <w:rsid w:val="00817220"/>
    <w:rsid w:val="00856E20"/>
    <w:rsid w:val="00867BF6"/>
    <w:rsid w:val="008868F6"/>
    <w:rsid w:val="008B20D1"/>
    <w:rsid w:val="008B27DC"/>
    <w:rsid w:val="008F4196"/>
    <w:rsid w:val="009134A1"/>
    <w:rsid w:val="00957617"/>
    <w:rsid w:val="009D5BCB"/>
    <w:rsid w:val="009F48F9"/>
    <w:rsid w:val="00A0250D"/>
    <w:rsid w:val="00A1146F"/>
    <w:rsid w:val="00A1342C"/>
    <w:rsid w:val="00A174B9"/>
    <w:rsid w:val="00A35EF9"/>
    <w:rsid w:val="00A90E3C"/>
    <w:rsid w:val="00AB189E"/>
    <w:rsid w:val="00AB1E1A"/>
    <w:rsid w:val="00AB5546"/>
    <w:rsid w:val="00AC76D4"/>
    <w:rsid w:val="00AE1A8B"/>
    <w:rsid w:val="00AE6997"/>
    <w:rsid w:val="00AF723E"/>
    <w:rsid w:val="00B01623"/>
    <w:rsid w:val="00B051FB"/>
    <w:rsid w:val="00B1067C"/>
    <w:rsid w:val="00B208ED"/>
    <w:rsid w:val="00B2417A"/>
    <w:rsid w:val="00B3652B"/>
    <w:rsid w:val="00B91D0C"/>
    <w:rsid w:val="00BA1DAE"/>
    <w:rsid w:val="00BC460D"/>
    <w:rsid w:val="00C16575"/>
    <w:rsid w:val="00C37D54"/>
    <w:rsid w:val="00C408FA"/>
    <w:rsid w:val="00C82BCA"/>
    <w:rsid w:val="00CA1C6A"/>
    <w:rsid w:val="00CA68E4"/>
    <w:rsid w:val="00CD0855"/>
    <w:rsid w:val="00CD793D"/>
    <w:rsid w:val="00D05AAA"/>
    <w:rsid w:val="00D667AB"/>
    <w:rsid w:val="00D8176C"/>
    <w:rsid w:val="00D8262B"/>
    <w:rsid w:val="00DB5194"/>
    <w:rsid w:val="00DE0600"/>
    <w:rsid w:val="00E009A6"/>
    <w:rsid w:val="00E215CA"/>
    <w:rsid w:val="00E36A13"/>
    <w:rsid w:val="00E43653"/>
    <w:rsid w:val="00E76543"/>
    <w:rsid w:val="00E90A39"/>
    <w:rsid w:val="00EA21C0"/>
    <w:rsid w:val="00EB1793"/>
    <w:rsid w:val="00EE4308"/>
    <w:rsid w:val="00EF1E00"/>
    <w:rsid w:val="00F01B80"/>
    <w:rsid w:val="00F236E5"/>
    <w:rsid w:val="00F41934"/>
    <w:rsid w:val="00F70B6C"/>
    <w:rsid w:val="00F81CE9"/>
    <w:rsid w:val="00FA2B1B"/>
    <w:rsid w:val="00FC1858"/>
    <w:rsid w:val="00FC1C78"/>
    <w:rsid w:val="00FC6BFC"/>
    <w:rsid w:val="13D26FD1"/>
    <w:rsid w:val="1EDF716C"/>
    <w:rsid w:val="328B1F08"/>
    <w:rsid w:val="3E2D69CB"/>
    <w:rsid w:val="491F2DF6"/>
    <w:rsid w:val="51264D5A"/>
    <w:rsid w:val="6DC749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FFC"/>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rsid w:val="004E7FFC"/>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4E7FF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4E7FF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semiHidden/>
    <w:unhideWhenUsed/>
    <w:rsid w:val="004E7FFC"/>
    <w:pPr>
      <w:ind w:firstLineChars="200" w:firstLine="420"/>
    </w:pPr>
  </w:style>
  <w:style w:type="paragraph" w:styleId="a4">
    <w:name w:val="caption"/>
    <w:basedOn w:val="a"/>
    <w:next w:val="a"/>
    <w:qFormat/>
    <w:rsid w:val="004E7FFC"/>
    <w:rPr>
      <w:rFonts w:ascii="Arial" w:eastAsia="黑体" w:hAnsi="Arial" w:cs="Arial"/>
      <w:sz w:val="20"/>
      <w:szCs w:val="20"/>
    </w:rPr>
  </w:style>
  <w:style w:type="paragraph" w:styleId="30">
    <w:name w:val="toc 3"/>
    <w:basedOn w:val="a"/>
    <w:next w:val="a"/>
    <w:uiPriority w:val="39"/>
    <w:unhideWhenUsed/>
    <w:qFormat/>
    <w:rsid w:val="004E7FFC"/>
    <w:pPr>
      <w:ind w:leftChars="400" w:left="840"/>
    </w:pPr>
  </w:style>
  <w:style w:type="paragraph" w:styleId="a5">
    <w:name w:val="Balloon Text"/>
    <w:basedOn w:val="a"/>
    <w:link w:val="Char"/>
    <w:uiPriority w:val="99"/>
    <w:semiHidden/>
    <w:unhideWhenUsed/>
    <w:qFormat/>
    <w:rsid w:val="004E7FFC"/>
    <w:rPr>
      <w:sz w:val="18"/>
      <w:szCs w:val="18"/>
    </w:rPr>
  </w:style>
  <w:style w:type="paragraph" w:styleId="a6">
    <w:name w:val="footer"/>
    <w:basedOn w:val="a"/>
    <w:link w:val="Char0"/>
    <w:uiPriority w:val="99"/>
    <w:unhideWhenUsed/>
    <w:qFormat/>
    <w:rsid w:val="004E7FFC"/>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4E7FFC"/>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rsid w:val="004E7FFC"/>
  </w:style>
  <w:style w:type="paragraph" w:styleId="20">
    <w:name w:val="toc 2"/>
    <w:basedOn w:val="a"/>
    <w:next w:val="a"/>
    <w:uiPriority w:val="39"/>
    <w:unhideWhenUsed/>
    <w:qFormat/>
    <w:rsid w:val="004E7FFC"/>
    <w:pPr>
      <w:ind w:leftChars="200" w:left="420"/>
    </w:pPr>
  </w:style>
  <w:style w:type="paragraph" w:styleId="a8">
    <w:name w:val="Normal (Web)"/>
    <w:basedOn w:val="a"/>
    <w:uiPriority w:val="99"/>
    <w:unhideWhenUsed/>
    <w:rsid w:val="004E7FFC"/>
    <w:pPr>
      <w:widowControl/>
      <w:spacing w:before="100" w:beforeAutospacing="1" w:after="100" w:afterAutospacing="1"/>
      <w:jc w:val="left"/>
    </w:pPr>
    <w:rPr>
      <w:rFonts w:ascii="宋体" w:hAnsi="宋体" w:cs="宋体"/>
      <w:kern w:val="0"/>
      <w:sz w:val="24"/>
      <w:szCs w:val="24"/>
    </w:rPr>
  </w:style>
  <w:style w:type="table" w:styleId="a9">
    <w:name w:val="Table Grid"/>
    <w:basedOn w:val="a1"/>
    <w:uiPriority w:val="39"/>
    <w:rsid w:val="004E7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4E7FFC"/>
    <w:rPr>
      <w:b/>
      <w:bCs/>
    </w:rPr>
  </w:style>
  <w:style w:type="character" w:styleId="ab">
    <w:name w:val="Hyperlink"/>
    <w:basedOn w:val="a0"/>
    <w:uiPriority w:val="99"/>
    <w:unhideWhenUsed/>
    <w:rsid w:val="004E7FFC"/>
    <w:rPr>
      <w:color w:val="0563C1" w:themeColor="hyperlink"/>
      <w:u w:val="single"/>
    </w:rPr>
  </w:style>
  <w:style w:type="paragraph" w:customStyle="1" w:styleId="21">
    <w:name w:val="样式 正文缩进 + 首行缩进:  2 字符"/>
    <w:basedOn w:val="a3"/>
    <w:link w:val="2Char0"/>
    <w:qFormat/>
    <w:rsid w:val="004E7FFC"/>
    <w:pPr>
      <w:spacing w:line="360" w:lineRule="auto"/>
      <w:ind w:firstLine="200"/>
    </w:pPr>
    <w:rPr>
      <w:rFonts w:ascii="Times New Roman" w:hAnsi="Times New Roman"/>
      <w:sz w:val="24"/>
      <w:szCs w:val="20"/>
      <w:lang w:val="zh-CN"/>
    </w:rPr>
  </w:style>
  <w:style w:type="character" w:customStyle="1" w:styleId="2Char0">
    <w:name w:val="样式 正文缩进 + 首行缩进:  2 字符 Char"/>
    <w:link w:val="21"/>
    <w:rsid w:val="004E7FFC"/>
    <w:rPr>
      <w:rFonts w:ascii="Times New Roman" w:eastAsia="宋体" w:hAnsi="Times New Roman" w:cs="Times New Roman"/>
      <w:sz w:val="24"/>
      <w:szCs w:val="20"/>
      <w:lang w:val="zh-CN" w:eastAsia="zh-CN"/>
    </w:rPr>
  </w:style>
  <w:style w:type="character" w:customStyle="1" w:styleId="1Char">
    <w:name w:val="标题 1 Char"/>
    <w:basedOn w:val="a0"/>
    <w:link w:val="1"/>
    <w:uiPriority w:val="9"/>
    <w:rsid w:val="004E7FFC"/>
    <w:rPr>
      <w:rFonts w:ascii="Calibri" w:eastAsia="宋体" w:hAnsi="Calibri" w:cs="Times New Roman"/>
      <w:b/>
      <w:bCs/>
      <w:kern w:val="44"/>
      <w:sz w:val="44"/>
      <w:szCs w:val="44"/>
    </w:rPr>
  </w:style>
  <w:style w:type="character" w:customStyle="1" w:styleId="2Char">
    <w:name w:val="标题 2 Char"/>
    <w:basedOn w:val="a0"/>
    <w:link w:val="2"/>
    <w:rsid w:val="004E7FFC"/>
    <w:rPr>
      <w:rFonts w:asciiTheme="majorHAnsi" w:eastAsiaTheme="majorEastAsia" w:hAnsiTheme="majorHAnsi" w:cstheme="majorBidi"/>
      <w:b/>
      <w:bCs/>
      <w:sz w:val="32"/>
      <w:szCs w:val="32"/>
    </w:rPr>
  </w:style>
  <w:style w:type="character" w:customStyle="1" w:styleId="Char2">
    <w:name w:val="方案正文 Char"/>
    <w:link w:val="ac"/>
    <w:qFormat/>
    <w:locked/>
    <w:rsid w:val="004E7FFC"/>
    <w:rPr>
      <w:rFonts w:ascii="Arial" w:hAnsi="Arial" w:cs="宋体"/>
      <w:sz w:val="24"/>
      <w:szCs w:val="21"/>
    </w:rPr>
  </w:style>
  <w:style w:type="paragraph" w:customStyle="1" w:styleId="ac">
    <w:name w:val="方案正文"/>
    <w:basedOn w:val="a"/>
    <w:link w:val="Char2"/>
    <w:qFormat/>
    <w:rsid w:val="004E7FFC"/>
    <w:pPr>
      <w:spacing w:before="156" w:line="360" w:lineRule="auto"/>
      <w:ind w:firstLineChars="171" w:firstLine="359"/>
      <w:jc w:val="left"/>
    </w:pPr>
    <w:rPr>
      <w:rFonts w:ascii="Arial" w:eastAsiaTheme="minorEastAsia" w:hAnsi="Arial" w:cs="宋体"/>
      <w:sz w:val="24"/>
      <w:szCs w:val="21"/>
    </w:rPr>
  </w:style>
  <w:style w:type="character" w:customStyle="1" w:styleId="3Char">
    <w:name w:val="标题 3 Char"/>
    <w:basedOn w:val="a0"/>
    <w:link w:val="3"/>
    <w:rsid w:val="004E7FFC"/>
    <w:rPr>
      <w:rFonts w:ascii="Calibri" w:eastAsia="宋体" w:hAnsi="Calibri" w:cs="Times New Roman"/>
      <w:b/>
      <w:bCs/>
      <w:sz w:val="32"/>
      <w:szCs w:val="32"/>
    </w:rPr>
  </w:style>
  <w:style w:type="character" w:customStyle="1" w:styleId="Char1">
    <w:name w:val="页眉 Char"/>
    <w:basedOn w:val="a0"/>
    <w:link w:val="a7"/>
    <w:uiPriority w:val="99"/>
    <w:qFormat/>
    <w:rsid w:val="004E7FFC"/>
    <w:rPr>
      <w:rFonts w:ascii="Calibri" w:eastAsia="宋体" w:hAnsi="Calibri" w:cs="Times New Roman"/>
      <w:sz w:val="18"/>
      <w:szCs w:val="18"/>
    </w:rPr>
  </w:style>
  <w:style w:type="character" w:customStyle="1" w:styleId="Char0">
    <w:name w:val="页脚 Char"/>
    <w:basedOn w:val="a0"/>
    <w:link w:val="a6"/>
    <w:uiPriority w:val="99"/>
    <w:rsid w:val="004E7FFC"/>
    <w:rPr>
      <w:rFonts w:ascii="Calibri" w:eastAsia="宋体" w:hAnsi="Calibri" w:cs="Times New Roman"/>
      <w:sz w:val="18"/>
      <w:szCs w:val="18"/>
    </w:rPr>
  </w:style>
  <w:style w:type="paragraph" w:customStyle="1" w:styleId="TOC1">
    <w:name w:val="TOC 标题1"/>
    <w:basedOn w:val="1"/>
    <w:next w:val="a"/>
    <w:uiPriority w:val="39"/>
    <w:unhideWhenUsed/>
    <w:qFormat/>
    <w:rsid w:val="004E7FFC"/>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Char">
    <w:name w:val="批注框文本 Char"/>
    <w:basedOn w:val="a0"/>
    <w:link w:val="a5"/>
    <w:uiPriority w:val="99"/>
    <w:semiHidden/>
    <w:qFormat/>
    <w:rsid w:val="004E7FFC"/>
    <w:rPr>
      <w:rFonts w:ascii="Calibri" w:eastAsia="宋体" w:hAnsi="Calibri" w:cs="Times New Roman"/>
      <w:sz w:val="18"/>
      <w:szCs w:val="18"/>
    </w:rPr>
  </w:style>
  <w:style w:type="paragraph" w:styleId="ad">
    <w:name w:val="List Paragraph"/>
    <w:basedOn w:val="a"/>
    <w:link w:val="Char3"/>
    <w:uiPriority w:val="34"/>
    <w:qFormat/>
    <w:rsid w:val="004E7FFC"/>
    <w:pPr>
      <w:ind w:firstLineChars="200" w:firstLine="420"/>
    </w:pPr>
  </w:style>
  <w:style w:type="paragraph" w:styleId="TOC">
    <w:name w:val="TOC Heading"/>
    <w:basedOn w:val="1"/>
    <w:next w:val="a"/>
    <w:uiPriority w:val="39"/>
    <w:unhideWhenUsed/>
    <w:qFormat/>
    <w:rsid w:val="00466EDA"/>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11">
    <w:name w:val="列表段落1"/>
    <w:basedOn w:val="a"/>
    <w:uiPriority w:val="1"/>
    <w:qFormat/>
    <w:rsid w:val="00E215CA"/>
    <w:pPr>
      <w:ind w:firstLineChars="200" w:firstLine="420"/>
    </w:pPr>
    <w:rPr>
      <w:rFonts w:ascii="Times New Roman" w:hAnsi="Times New Roman"/>
      <w:szCs w:val="24"/>
    </w:rPr>
  </w:style>
  <w:style w:type="character" w:customStyle="1" w:styleId="Char3">
    <w:name w:val="列出段落 Char"/>
    <w:basedOn w:val="a0"/>
    <w:link w:val="ad"/>
    <w:uiPriority w:val="34"/>
    <w:qFormat/>
    <w:rsid w:val="00E215CA"/>
    <w:rPr>
      <w:rFonts w:ascii="Calibri" w:eastAsia="宋体" w:hAnsi="Calibri" w:cs="Times New Roman"/>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Visio_Drawing12.vsdx"/><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package" Target="embeddings/Microsoft_Visio_Drawing1.vsdx"/><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package" Target="embeddings/Microsoft_Visio_Drawing23.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BE98A44-ACF5-44A3-9CF3-3256C02490E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917</Words>
  <Characters>5229</Characters>
  <Application>Microsoft Office Word</Application>
  <DocSecurity>0</DocSecurity>
  <Lines>43</Lines>
  <Paragraphs>12</Paragraphs>
  <ScaleCrop>false</ScaleCrop>
  <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 Huang</dc:creator>
  <cp:lastModifiedBy>lenovo</cp:lastModifiedBy>
  <cp:revision>3</cp:revision>
  <cp:lastPrinted>2019-03-09T07:42:00Z</cp:lastPrinted>
  <dcterms:created xsi:type="dcterms:W3CDTF">2021-09-26T16:37:00Z</dcterms:created>
  <dcterms:modified xsi:type="dcterms:W3CDTF">2021-09-26T16:40:00Z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